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AFD5B" w14:textId="77777777" w:rsidR="008B3165" w:rsidRPr="00903BCB" w:rsidRDefault="008962C1" w:rsidP="007F5B0A">
      <w:pPr>
        <w:spacing w:line="480" w:lineRule="auto"/>
        <w:ind w:left="0" w:right="0"/>
        <w:jc w:val="center"/>
        <w:rPr>
          <w:b/>
          <w:bCs/>
          <w:sz w:val="24"/>
          <w:szCs w:val="24"/>
        </w:rPr>
      </w:pPr>
      <w:r w:rsidRPr="00903BCB">
        <w:rPr>
          <w:b/>
          <w:bCs/>
          <w:sz w:val="24"/>
          <w:szCs w:val="24"/>
        </w:rPr>
        <w:t>Fiscal Decentralization in Jordan</w:t>
      </w:r>
      <w:r w:rsidR="004066F2" w:rsidRPr="00903BCB">
        <w:rPr>
          <w:b/>
          <w:bCs/>
          <w:sz w:val="24"/>
          <w:szCs w:val="24"/>
        </w:rPr>
        <w:t>:</w:t>
      </w:r>
    </w:p>
    <w:p w14:paraId="1426714A" w14:textId="77777777" w:rsidR="008962C1" w:rsidRPr="00903BCB" w:rsidRDefault="004066F2" w:rsidP="007F5B0A">
      <w:pPr>
        <w:spacing w:line="480" w:lineRule="auto"/>
        <w:ind w:left="0" w:right="0"/>
        <w:jc w:val="center"/>
        <w:rPr>
          <w:sz w:val="24"/>
          <w:szCs w:val="24"/>
        </w:rPr>
      </w:pPr>
      <w:r w:rsidRPr="00903BCB">
        <w:rPr>
          <w:sz w:val="24"/>
          <w:szCs w:val="24"/>
        </w:rPr>
        <w:t>R</w:t>
      </w:r>
      <w:r w:rsidR="008962C1" w:rsidRPr="00903BCB">
        <w:rPr>
          <w:sz w:val="24"/>
          <w:szCs w:val="24"/>
        </w:rPr>
        <w:t>eframing the debate and discussing the parameters of an intergovernmental transfer formula</w:t>
      </w:r>
      <w:r w:rsidR="00930F5E" w:rsidRPr="00903BCB">
        <w:rPr>
          <w:sz w:val="24"/>
          <w:szCs w:val="24"/>
        </w:rPr>
        <w:t xml:space="preserve"> for Governorates</w:t>
      </w:r>
    </w:p>
    <w:p w14:paraId="21D4E692" w14:textId="77777777" w:rsidR="00B6005E" w:rsidRPr="00903BCB" w:rsidRDefault="00B6005E" w:rsidP="008B3165">
      <w:pPr>
        <w:jc w:val="center"/>
        <w:rPr>
          <w:bCs/>
          <w:sz w:val="24"/>
          <w:szCs w:val="24"/>
        </w:rPr>
      </w:pPr>
    </w:p>
    <w:p w14:paraId="7F9E3BD6" w14:textId="77777777" w:rsidR="005F3313" w:rsidRPr="00903BCB" w:rsidRDefault="005F3313" w:rsidP="008F496C">
      <w:pPr>
        <w:pStyle w:val="MediumGrid1-Accent21"/>
        <w:ind w:left="-284"/>
        <w:jc w:val="left"/>
        <w:rPr>
          <w:sz w:val="24"/>
          <w:szCs w:val="24"/>
        </w:rPr>
      </w:pPr>
    </w:p>
    <w:p w14:paraId="746A87E9" w14:textId="77777777" w:rsidR="005F3313" w:rsidRPr="00903BCB" w:rsidRDefault="006119F9" w:rsidP="00A06476">
      <w:pPr>
        <w:pStyle w:val="MediumGrid1-Accent21"/>
        <w:spacing w:line="360" w:lineRule="auto"/>
        <w:ind w:left="0" w:right="0"/>
        <w:jc w:val="center"/>
        <w:rPr>
          <w:b/>
          <w:sz w:val="24"/>
          <w:szCs w:val="24"/>
        </w:rPr>
      </w:pPr>
      <w:r w:rsidRPr="00903BCB">
        <w:rPr>
          <w:b/>
          <w:sz w:val="24"/>
          <w:szCs w:val="24"/>
        </w:rPr>
        <w:t>Summary</w:t>
      </w:r>
    </w:p>
    <w:p w14:paraId="35ECE98F" w14:textId="61685F7A" w:rsidR="001817F3" w:rsidRPr="00903BCB" w:rsidRDefault="001817F3" w:rsidP="00A06476">
      <w:pPr>
        <w:spacing w:line="360" w:lineRule="auto"/>
        <w:ind w:left="0" w:right="0"/>
        <w:rPr>
          <w:sz w:val="24"/>
          <w:szCs w:val="24"/>
        </w:rPr>
      </w:pPr>
      <w:r w:rsidRPr="00903BCB">
        <w:rPr>
          <w:sz w:val="24"/>
          <w:szCs w:val="24"/>
        </w:rPr>
        <w:t xml:space="preserve">Decentralization </w:t>
      </w:r>
      <w:r w:rsidR="000E245A" w:rsidRPr="00903BCB">
        <w:rPr>
          <w:sz w:val="24"/>
          <w:szCs w:val="24"/>
        </w:rPr>
        <w:t>has been on the</w:t>
      </w:r>
      <w:r w:rsidR="004066F2" w:rsidRPr="00903BCB">
        <w:rPr>
          <w:sz w:val="24"/>
          <w:szCs w:val="24"/>
        </w:rPr>
        <w:t xml:space="preserve"> </w:t>
      </w:r>
      <w:r w:rsidR="000E245A" w:rsidRPr="00903BCB">
        <w:rPr>
          <w:sz w:val="24"/>
          <w:szCs w:val="24"/>
        </w:rPr>
        <w:t>G</w:t>
      </w:r>
      <w:r w:rsidRPr="00903BCB">
        <w:rPr>
          <w:sz w:val="24"/>
          <w:szCs w:val="24"/>
        </w:rPr>
        <w:t>overnment</w:t>
      </w:r>
      <w:r w:rsidR="004066F2" w:rsidRPr="00903BCB">
        <w:rPr>
          <w:sz w:val="24"/>
          <w:szCs w:val="24"/>
        </w:rPr>
        <w:t xml:space="preserve"> </w:t>
      </w:r>
      <w:r w:rsidR="000E245A" w:rsidRPr="00903BCB">
        <w:rPr>
          <w:sz w:val="24"/>
          <w:szCs w:val="24"/>
        </w:rPr>
        <w:t xml:space="preserve">of Jordan’s </w:t>
      </w:r>
      <w:r w:rsidR="004066F2" w:rsidRPr="00903BCB">
        <w:rPr>
          <w:sz w:val="24"/>
          <w:szCs w:val="24"/>
        </w:rPr>
        <w:t>agenda</w:t>
      </w:r>
      <w:r w:rsidRPr="00903BCB">
        <w:rPr>
          <w:sz w:val="24"/>
          <w:szCs w:val="24"/>
        </w:rPr>
        <w:t xml:space="preserve"> for more than </w:t>
      </w:r>
      <w:r w:rsidR="004066F2" w:rsidRPr="00903BCB">
        <w:rPr>
          <w:sz w:val="24"/>
          <w:szCs w:val="24"/>
        </w:rPr>
        <w:t>fifteen</w:t>
      </w:r>
      <w:r w:rsidRPr="00903BCB">
        <w:rPr>
          <w:sz w:val="24"/>
          <w:szCs w:val="24"/>
        </w:rPr>
        <w:t xml:space="preserve"> years. However, a close examination of the political discourse reveals three </w:t>
      </w:r>
      <w:r w:rsidR="004066F2" w:rsidRPr="00903BCB">
        <w:rPr>
          <w:sz w:val="24"/>
          <w:szCs w:val="24"/>
        </w:rPr>
        <w:t>features</w:t>
      </w:r>
      <w:r w:rsidR="00EE3E01" w:rsidRPr="00903BCB">
        <w:rPr>
          <w:sz w:val="24"/>
          <w:szCs w:val="24"/>
        </w:rPr>
        <w:t xml:space="preserve"> that warrant further analysis</w:t>
      </w:r>
      <w:r w:rsidRPr="00903BCB">
        <w:rPr>
          <w:sz w:val="24"/>
          <w:szCs w:val="24"/>
        </w:rPr>
        <w:t>. First, there is no clear distinction between the political, fiscal and administrative aspects of decentralization and the sequence by which they should occur. Second, more emphasis has been paid to aspects of administrative decentralization</w:t>
      </w:r>
      <w:r w:rsidR="004066F2" w:rsidRPr="00903BCB">
        <w:rPr>
          <w:sz w:val="24"/>
          <w:szCs w:val="24"/>
        </w:rPr>
        <w:t>,</w:t>
      </w:r>
      <w:r w:rsidRPr="00903BCB">
        <w:rPr>
          <w:sz w:val="24"/>
          <w:szCs w:val="24"/>
        </w:rPr>
        <w:t xml:space="preserve"> </w:t>
      </w:r>
      <w:r w:rsidR="004066F2" w:rsidRPr="00903BCB">
        <w:rPr>
          <w:sz w:val="24"/>
          <w:szCs w:val="24"/>
        </w:rPr>
        <w:t xml:space="preserve">rather </w:t>
      </w:r>
      <w:r w:rsidRPr="00903BCB">
        <w:rPr>
          <w:sz w:val="24"/>
          <w:szCs w:val="24"/>
        </w:rPr>
        <w:t xml:space="preserve">than to the transfer of political power and financial resources from the central government to governorates </w:t>
      </w:r>
      <w:r w:rsidR="004066F2" w:rsidRPr="00903BCB">
        <w:rPr>
          <w:sz w:val="24"/>
          <w:szCs w:val="24"/>
        </w:rPr>
        <w:t xml:space="preserve">needed </w:t>
      </w:r>
      <w:r w:rsidRPr="00903BCB">
        <w:rPr>
          <w:sz w:val="24"/>
          <w:szCs w:val="24"/>
        </w:rPr>
        <w:t>to increase</w:t>
      </w:r>
      <w:r w:rsidR="000E245A" w:rsidRPr="00903BCB">
        <w:rPr>
          <w:sz w:val="24"/>
          <w:szCs w:val="24"/>
        </w:rPr>
        <w:t xml:space="preserve"> transparency and accountability, as well as the </w:t>
      </w:r>
      <w:r w:rsidRPr="00903BCB">
        <w:rPr>
          <w:sz w:val="24"/>
          <w:szCs w:val="24"/>
        </w:rPr>
        <w:t>autonom</w:t>
      </w:r>
      <w:r w:rsidR="000E245A" w:rsidRPr="00903BCB">
        <w:rPr>
          <w:sz w:val="24"/>
          <w:szCs w:val="24"/>
        </w:rPr>
        <w:t xml:space="preserve">y and </w:t>
      </w:r>
      <w:r w:rsidRPr="00903BCB">
        <w:rPr>
          <w:sz w:val="24"/>
          <w:szCs w:val="24"/>
        </w:rPr>
        <w:t>capacity of subnational government</w:t>
      </w:r>
      <w:r w:rsidR="000E245A" w:rsidRPr="00903BCB">
        <w:rPr>
          <w:sz w:val="24"/>
          <w:szCs w:val="24"/>
        </w:rPr>
        <w:t>s</w:t>
      </w:r>
      <w:r w:rsidRPr="00903BCB">
        <w:rPr>
          <w:sz w:val="24"/>
          <w:szCs w:val="24"/>
        </w:rPr>
        <w:t xml:space="preserve">. Third, the little that has been written about the autonomy of governorates </w:t>
      </w:r>
      <w:r w:rsidR="001D0415" w:rsidRPr="00903BCB">
        <w:rPr>
          <w:sz w:val="24"/>
          <w:szCs w:val="24"/>
        </w:rPr>
        <w:t>does not</w:t>
      </w:r>
      <w:r w:rsidRPr="00903BCB">
        <w:rPr>
          <w:sz w:val="24"/>
          <w:szCs w:val="24"/>
        </w:rPr>
        <w:t xml:space="preserve"> </w:t>
      </w:r>
      <w:r w:rsidR="001D0415" w:rsidRPr="00903BCB">
        <w:rPr>
          <w:sz w:val="24"/>
          <w:szCs w:val="24"/>
        </w:rPr>
        <w:t>adequately consider</w:t>
      </w:r>
      <w:r w:rsidR="00DA0FC1" w:rsidRPr="00903BCB">
        <w:rPr>
          <w:sz w:val="24"/>
          <w:szCs w:val="24"/>
        </w:rPr>
        <w:t xml:space="preserve"> the need for</w:t>
      </w:r>
      <w:r w:rsidRPr="00903BCB">
        <w:rPr>
          <w:sz w:val="24"/>
          <w:szCs w:val="24"/>
        </w:rPr>
        <w:t xml:space="preserve"> an intergovernmental transfer system to allocate national revenues to subnational governments. Drawing from fiscal decentralization experiences in other countries</w:t>
      </w:r>
      <w:r w:rsidR="004066F2" w:rsidRPr="00903BCB">
        <w:rPr>
          <w:sz w:val="24"/>
          <w:szCs w:val="24"/>
        </w:rPr>
        <w:t>,</w:t>
      </w:r>
      <w:r w:rsidRPr="00903BCB">
        <w:rPr>
          <w:sz w:val="24"/>
          <w:szCs w:val="24"/>
        </w:rPr>
        <w:t xml:space="preserve"> and from the specific historical and institutional context of Jordan</w:t>
      </w:r>
      <w:r w:rsidR="004066F2" w:rsidRPr="00903BCB">
        <w:rPr>
          <w:sz w:val="24"/>
          <w:szCs w:val="24"/>
        </w:rPr>
        <w:t>,</w:t>
      </w:r>
      <w:r w:rsidRPr="00903BCB">
        <w:rPr>
          <w:sz w:val="24"/>
          <w:szCs w:val="24"/>
        </w:rPr>
        <w:t xml:space="preserve"> this </w:t>
      </w:r>
      <w:r w:rsidR="007879A3" w:rsidRPr="00903BCB">
        <w:rPr>
          <w:sz w:val="24"/>
          <w:szCs w:val="24"/>
        </w:rPr>
        <w:t>article</w:t>
      </w:r>
      <w:r w:rsidRPr="00903BCB">
        <w:rPr>
          <w:sz w:val="24"/>
          <w:szCs w:val="24"/>
        </w:rPr>
        <w:t xml:space="preserve"> constitutes the first attempt to model capital transfers</w:t>
      </w:r>
      <w:r w:rsidR="003368CB" w:rsidRPr="00903BCB">
        <w:rPr>
          <w:sz w:val="24"/>
          <w:szCs w:val="24"/>
        </w:rPr>
        <w:t xml:space="preserve"> </w:t>
      </w:r>
      <w:r w:rsidRPr="00903BCB">
        <w:rPr>
          <w:sz w:val="24"/>
          <w:szCs w:val="24"/>
        </w:rPr>
        <w:t xml:space="preserve">and </w:t>
      </w:r>
      <w:r w:rsidR="00EE63DE" w:rsidRPr="00903BCB">
        <w:rPr>
          <w:sz w:val="24"/>
          <w:szCs w:val="24"/>
        </w:rPr>
        <w:t xml:space="preserve">to </w:t>
      </w:r>
      <w:r w:rsidRPr="00903BCB">
        <w:rPr>
          <w:sz w:val="24"/>
          <w:szCs w:val="24"/>
        </w:rPr>
        <w:t>discuss the parameters of an intergovernmental transfer formula. The results show that a more comprehensive</w:t>
      </w:r>
      <w:r w:rsidR="00DA0FC1" w:rsidRPr="00903BCB">
        <w:rPr>
          <w:sz w:val="24"/>
          <w:szCs w:val="24"/>
        </w:rPr>
        <w:t xml:space="preserve"> and appropriately structured</w:t>
      </w:r>
      <w:r w:rsidRPr="00903BCB">
        <w:rPr>
          <w:sz w:val="24"/>
          <w:szCs w:val="24"/>
        </w:rPr>
        <w:t xml:space="preserve"> mix of transfer decision criteria</w:t>
      </w:r>
      <w:r w:rsidR="00EE63DE" w:rsidRPr="00903BCB">
        <w:rPr>
          <w:sz w:val="24"/>
          <w:szCs w:val="24"/>
        </w:rPr>
        <w:t xml:space="preserve"> can help mitigate the ambiguity of Jordan’s transfer policy</w:t>
      </w:r>
      <w:r w:rsidRPr="00903BCB">
        <w:rPr>
          <w:sz w:val="24"/>
          <w:szCs w:val="24"/>
        </w:rPr>
        <w:t>. This include</w:t>
      </w:r>
      <w:r w:rsidR="004066F2" w:rsidRPr="00903BCB">
        <w:rPr>
          <w:sz w:val="24"/>
          <w:szCs w:val="24"/>
        </w:rPr>
        <w:t>s</w:t>
      </w:r>
      <w:r w:rsidR="001D0415" w:rsidRPr="00903BCB">
        <w:rPr>
          <w:sz w:val="24"/>
          <w:szCs w:val="24"/>
        </w:rPr>
        <w:t xml:space="preserve"> changing the weights o</w:t>
      </w:r>
      <w:r w:rsidR="00EE63DE" w:rsidRPr="00903BCB">
        <w:rPr>
          <w:sz w:val="24"/>
          <w:szCs w:val="24"/>
        </w:rPr>
        <w:t>f</w:t>
      </w:r>
      <w:r w:rsidR="001D0415" w:rsidRPr="00903BCB">
        <w:rPr>
          <w:sz w:val="24"/>
          <w:szCs w:val="24"/>
        </w:rPr>
        <w:t xml:space="preserve"> some </w:t>
      </w:r>
      <w:r w:rsidR="00EE63DE" w:rsidRPr="00903BCB">
        <w:rPr>
          <w:sz w:val="24"/>
          <w:szCs w:val="24"/>
        </w:rPr>
        <w:t xml:space="preserve">current </w:t>
      </w:r>
      <w:r w:rsidR="001D0415" w:rsidRPr="00903BCB">
        <w:rPr>
          <w:sz w:val="24"/>
          <w:szCs w:val="24"/>
        </w:rPr>
        <w:t>transfer criteria and</w:t>
      </w:r>
      <w:r w:rsidRPr="00903BCB">
        <w:rPr>
          <w:sz w:val="24"/>
          <w:szCs w:val="24"/>
        </w:rPr>
        <w:t xml:space="preserve"> factor</w:t>
      </w:r>
      <w:r w:rsidR="004066F2" w:rsidRPr="00903BCB">
        <w:rPr>
          <w:sz w:val="24"/>
          <w:szCs w:val="24"/>
        </w:rPr>
        <w:t>ing</w:t>
      </w:r>
      <w:r w:rsidRPr="00903BCB">
        <w:rPr>
          <w:sz w:val="24"/>
          <w:szCs w:val="24"/>
        </w:rPr>
        <w:t xml:space="preserve"> in new ones. </w:t>
      </w:r>
    </w:p>
    <w:p w14:paraId="5CC8ECC9" w14:textId="77777777" w:rsidR="006C01F9" w:rsidRPr="00903BCB" w:rsidRDefault="006C01F9" w:rsidP="00E936FE">
      <w:pPr>
        <w:ind w:left="0" w:right="0"/>
        <w:rPr>
          <w:sz w:val="24"/>
          <w:szCs w:val="24"/>
        </w:rPr>
      </w:pPr>
    </w:p>
    <w:p w14:paraId="2330D30F" w14:textId="77777777" w:rsidR="00581128" w:rsidRPr="00903BCB" w:rsidRDefault="00581128" w:rsidP="00623945">
      <w:pPr>
        <w:spacing w:line="360" w:lineRule="auto"/>
        <w:ind w:left="0" w:right="0"/>
        <w:rPr>
          <w:b/>
          <w:sz w:val="24"/>
          <w:szCs w:val="24"/>
        </w:rPr>
      </w:pPr>
    </w:p>
    <w:p w14:paraId="231D997A" w14:textId="77777777" w:rsidR="008962C1" w:rsidRPr="00903BCB" w:rsidRDefault="008962C1" w:rsidP="00623945">
      <w:pPr>
        <w:spacing w:line="360" w:lineRule="auto"/>
        <w:ind w:left="0" w:right="0"/>
        <w:rPr>
          <w:sz w:val="24"/>
          <w:szCs w:val="24"/>
        </w:rPr>
      </w:pPr>
      <w:r w:rsidRPr="00903BCB">
        <w:rPr>
          <w:b/>
          <w:sz w:val="24"/>
          <w:szCs w:val="24"/>
        </w:rPr>
        <w:t>Keywords</w:t>
      </w:r>
      <w:r w:rsidRPr="00903BCB">
        <w:rPr>
          <w:sz w:val="24"/>
          <w:szCs w:val="24"/>
        </w:rPr>
        <w:t>:</w:t>
      </w:r>
      <w:r w:rsidR="00A52330" w:rsidRPr="00903BCB">
        <w:rPr>
          <w:sz w:val="24"/>
          <w:szCs w:val="24"/>
        </w:rPr>
        <w:t xml:space="preserve"> </w:t>
      </w:r>
      <w:r w:rsidR="007400F9" w:rsidRPr="00903BCB">
        <w:rPr>
          <w:sz w:val="24"/>
          <w:szCs w:val="24"/>
        </w:rPr>
        <w:t xml:space="preserve">Development, </w:t>
      </w:r>
      <w:r w:rsidR="00A52330" w:rsidRPr="00903BCB">
        <w:rPr>
          <w:sz w:val="24"/>
          <w:szCs w:val="24"/>
        </w:rPr>
        <w:t xml:space="preserve">Public Administration, </w:t>
      </w:r>
      <w:r w:rsidR="00006F82" w:rsidRPr="00903BCB">
        <w:rPr>
          <w:sz w:val="24"/>
          <w:szCs w:val="24"/>
        </w:rPr>
        <w:t>Local Gove</w:t>
      </w:r>
      <w:r w:rsidR="00DA57AD" w:rsidRPr="00903BCB">
        <w:rPr>
          <w:sz w:val="24"/>
          <w:szCs w:val="24"/>
        </w:rPr>
        <w:t>rnance</w:t>
      </w:r>
      <w:r w:rsidR="00006F82" w:rsidRPr="00903BCB">
        <w:rPr>
          <w:sz w:val="24"/>
          <w:szCs w:val="24"/>
        </w:rPr>
        <w:t>,</w:t>
      </w:r>
      <w:r w:rsidR="00DA57AD" w:rsidRPr="00903BCB">
        <w:rPr>
          <w:sz w:val="24"/>
          <w:szCs w:val="24"/>
        </w:rPr>
        <w:t xml:space="preserve"> </w:t>
      </w:r>
      <w:r w:rsidR="00A52330" w:rsidRPr="00903BCB">
        <w:rPr>
          <w:sz w:val="24"/>
          <w:szCs w:val="24"/>
        </w:rPr>
        <w:t>Fiscal D</w:t>
      </w:r>
      <w:r w:rsidRPr="00903BCB">
        <w:rPr>
          <w:sz w:val="24"/>
          <w:szCs w:val="24"/>
        </w:rPr>
        <w:t xml:space="preserve">ecentralization, </w:t>
      </w:r>
      <w:r w:rsidR="00720C65" w:rsidRPr="00903BCB">
        <w:rPr>
          <w:sz w:val="24"/>
          <w:szCs w:val="24"/>
        </w:rPr>
        <w:t xml:space="preserve">Formula-based </w:t>
      </w:r>
      <w:r w:rsidRPr="00903BCB">
        <w:rPr>
          <w:sz w:val="24"/>
          <w:szCs w:val="24"/>
        </w:rPr>
        <w:t>Transfers, Jordan</w:t>
      </w:r>
    </w:p>
    <w:p w14:paraId="4195AB8C" w14:textId="77777777" w:rsidR="008962C1" w:rsidRPr="00903BCB" w:rsidRDefault="008962C1" w:rsidP="00623945">
      <w:pPr>
        <w:spacing w:line="360" w:lineRule="auto"/>
        <w:ind w:left="0" w:right="0"/>
        <w:rPr>
          <w:b/>
          <w:sz w:val="24"/>
          <w:szCs w:val="24"/>
        </w:rPr>
      </w:pPr>
    </w:p>
    <w:p w14:paraId="25E2E59D" w14:textId="77777777" w:rsidR="008962C1" w:rsidRPr="00903BCB" w:rsidRDefault="008962C1" w:rsidP="00623945">
      <w:pPr>
        <w:spacing w:line="360" w:lineRule="auto"/>
        <w:ind w:left="0" w:right="0"/>
        <w:rPr>
          <w:b/>
          <w:sz w:val="24"/>
          <w:szCs w:val="24"/>
        </w:rPr>
      </w:pPr>
    </w:p>
    <w:p w14:paraId="0C8F8404" w14:textId="77777777" w:rsidR="008962C1" w:rsidRDefault="008962C1" w:rsidP="00623945">
      <w:pPr>
        <w:spacing w:line="360" w:lineRule="auto"/>
        <w:ind w:left="0" w:right="0"/>
        <w:rPr>
          <w:b/>
          <w:sz w:val="24"/>
          <w:szCs w:val="24"/>
        </w:rPr>
      </w:pPr>
    </w:p>
    <w:p w14:paraId="278F0E06" w14:textId="77777777" w:rsidR="00903BCB" w:rsidRDefault="00903BCB" w:rsidP="00623945">
      <w:pPr>
        <w:spacing w:line="360" w:lineRule="auto"/>
        <w:ind w:left="0" w:right="0"/>
        <w:rPr>
          <w:b/>
          <w:sz w:val="24"/>
          <w:szCs w:val="24"/>
        </w:rPr>
      </w:pPr>
    </w:p>
    <w:p w14:paraId="3619B9D9" w14:textId="77777777" w:rsidR="00903BCB" w:rsidRPr="00903BCB" w:rsidRDefault="00903BCB" w:rsidP="00623945">
      <w:pPr>
        <w:spacing w:line="360" w:lineRule="auto"/>
        <w:ind w:left="0" w:right="0"/>
        <w:rPr>
          <w:b/>
          <w:sz w:val="24"/>
          <w:szCs w:val="24"/>
        </w:rPr>
      </w:pPr>
    </w:p>
    <w:p w14:paraId="41674E02" w14:textId="5A9671DE" w:rsidR="00E936FE" w:rsidRPr="00903BCB" w:rsidRDefault="009F1C38" w:rsidP="00623945">
      <w:pPr>
        <w:spacing w:line="360" w:lineRule="auto"/>
        <w:ind w:left="0" w:right="0"/>
        <w:rPr>
          <w:b/>
          <w:sz w:val="24"/>
          <w:szCs w:val="24"/>
        </w:rPr>
      </w:pPr>
      <w:r w:rsidRPr="00903BCB">
        <w:rPr>
          <w:b/>
          <w:sz w:val="24"/>
          <w:szCs w:val="24"/>
        </w:rPr>
        <w:lastRenderedPageBreak/>
        <w:t xml:space="preserve">1. </w:t>
      </w:r>
      <w:r w:rsidR="006C01F9" w:rsidRPr="00903BCB">
        <w:rPr>
          <w:b/>
          <w:sz w:val="24"/>
          <w:szCs w:val="24"/>
        </w:rPr>
        <w:t xml:space="preserve">Historical </w:t>
      </w:r>
      <w:r w:rsidR="00920BB6" w:rsidRPr="00903BCB">
        <w:rPr>
          <w:b/>
          <w:sz w:val="24"/>
          <w:szCs w:val="24"/>
        </w:rPr>
        <w:t>Context</w:t>
      </w:r>
      <w:r w:rsidR="00235D6F" w:rsidRPr="00903BCB">
        <w:rPr>
          <w:b/>
          <w:sz w:val="24"/>
          <w:szCs w:val="24"/>
        </w:rPr>
        <w:t xml:space="preserve"> and Policy Gap</w:t>
      </w:r>
    </w:p>
    <w:p w14:paraId="332871B4" w14:textId="559EA15B" w:rsidR="00276527" w:rsidRPr="00903BCB" w:rsidRDefault="00DF4FC1" w:rsidP="00623945">
      <w:pPr>
        <w:spacing w:line="360" w:lineRule="auto"/>
        <w:ind w:left="0" w:right="0"/>
        <w:rPr>
          <w:sz w:val="24"/>
          <w:szCs w:val="24"/>
        </w:rPr>
      </w:pPr>
      <w:r w:rsidRPr="00903BCB">
        <w:rPr>
          <w:sz w:val="24"/>
          <w:szCs w:val="24"/>
        </w:rPr>
        <w:t xml:space="preserve">In </w:t>
      </w:r>
      <w:r w:rsidR="00F3222F" w:rsidRPr="00903BCB">
        <w:rPr>
          <w:sz w:val="24"/>
          <w:szCs w:val="24"/>
        </w:rPr>
        <w:t>his</w:t>
      </w:r>
      <w:r w:rsidRPr="00903BCB">
        <w:rPr>
          <w:sz w:val="24"/>
          <w:szCs w:val="24"/>
        </w:rPr>
        <w:t xml:space="preserve"> 2005</w:t>
      </w:r>
      <w:r w:rsidR="00F3222F" w:rsidRPr="00903BCB">
        <w:rPr>
          <w:sz w:val="24"/>
          <w:szCs w:val="24"/>
        </w:rPr>
        <w:t xml:space="preserve"> Address to the Nation</w:t>
      </w:r>
      <w:r w:rsidR="00547498" w:rsidRPr="00903BCB">
        <w:rPr>
          <w:sz w:val="24"/>
          <w:szCs w:val="24"/>
        </w:rPr>
        <w:t>,</w:t>
      </w:r>
      <w:r w:rsidRPr="00903BCB">
        <w:rPr>
          <w:sz w:val="24"/>
          <w:szCs w:val="24"/>
        </w:rPr>
        <w:t xml:space="preserve"> </w:t>
      </w:r>
      <w:r w:rsidR="00276527" w:rsidRPr="00903BCB">
        <w:rPr>
          <w:sz w:val="24"/>
          <w:szCs w:val="24"/>
        </w:rPr>
        <w:t xml:space="preserve">King </w:t>
      </w:r>
      <w:r w:rsidR="00B06F83" w:rsidRPr="00903BCB">
        <w:rPr>
          <w:color w:val="000000"/>
          <w:sz w:val="24"/>
          <w:szCs w:val="24"/>
        </w:rPr>
        <w:t xml:space="preserve">Abdullah II </w:t>
      </w:r>
      <w:r w:rsidR="00F3222F" w:rsidRPr="00903BCB">
        <w:rPr>
          <w:color w:val="000000"/>
          <w:sz w:val="24"/>
          <w:szCs w:val="24"/>
        </w:rPr>
        <w:t xml:space="preserve">of Jordan </w:t>
      </w:r>
      <w:r w:rsidR="00276527" w:rsidRPr="00903BCB">
        <w:rPr>
          <w:sz w:val="24"/>
          <w:szCs w:val="24"/>
        </w:rPr>
        <w:t xml:space="preserve">stressed the importance </w:t>
      </w:r>
      <w:r w:rsidR="004066F2" w:rsidRPr="00903BCB">
        <w:rPr>
          <w:sz w:val="24"/>
          <w:szCs w:val="24"/>
        </w:rPr>
        <w:t>of</w:t>
      </w:r>
      <w:r w:rsidR="00276527" w:rsidRPr="00903BCB">
        <w:rPr>
          <w:sz w:val="24"/>
          <w:szCs w:val="24"/>
        </w:rPr>
        <w:t xml:space="preserve"> economic, social and administrative development </w:t>
      </w:r>
      <w:r w:rsidR="006069BB" w:rsidRPr="00903BCB">
        <w:rPr>
          <w:sz w:val="24"/>
          <w:szCs w:val="24"/>
        </w:rPr>
        <w:t xml:space="preserve">occurring </w:t>
      </w:r>
      <w:r w:rsidR="00276527" w:rsidRPr="00903BCB">
        <w:rPr>
          <w:sz w:val="24"/>
          <w:szCs w:val="24"/>
        </w:rPr>
        <w:t>hand</w:t>
      </w:r>
      <w:r w:rsidR="004066F2" w:rsidRPr="00903BCB">
        <w:rPr>
          <w:sz w:val="24"/>
          <w:szCs w:val="24"/>
        </w:rPr>
        <w:t>-</w:t>
      </w:r>
      <w:r w:rsidR="00276527" w:rsidRPr="00903BCB">
        <w:rPr>
          <w:sz w:val="24"/>
          <w:szCs w:val="24"/>
        </w:rPr>
        <w:t>in</w:t>
      </w:r>
      <w:r w:rsidR="004066F2" w:rsidRPr="00903BCB">
        <w:rPr>
          <w:sz w:val="24"/>
          <w:szCs w:val="24"/>
        </w:rPr>
        <w:t>-</w:t>
      </w:r>
      <w:r w:rsidR="00276527" w:rsidRPr="00903BCB">
        <w:rPr>
          <w:sz w:val="24"/>
          <w:szCs w:val="24"/>
        </w:rPr>
        <w:t>hand with forms of “politica</w:t>
      </w:r>
      <w:r w:rsidR="00981BCE" w:rsidRPr="00903BCB">
        <w:rPr>
          <w:sz w:val="24"/>
          <w:szCs w:val="24"/>
        </w:rPr>
        <w:t xml:space="preserve">l development” that enable both (i) </w:t>
      </w:r>
      <w:r w:rsidRPr="00903BCB">
        <w:rPr>
          <w:sz w:val="24"/>
          <w:szCs w:val="24"/>
        </w:rPr>
        <w:t>greater public</w:t>
      </w:r>
      <w:r w:rsidR="00276527" w:rsidRPr="00903BCB">
        <w:rPr>
          <w:sz w:val="24"/>
          <w:szCs w:val="24"/>
        </w:rPr>
        <w:t xml:space="preserve"> participation in public</w:t>
      </w:r>
      <w:r w:rsidR="00B9774F" w:rsidRPr="00903BCB">
        <w:rPr>
          <w:sz w:val="24"/>
          <w:szCs w:val="24"/>
        </w:rPr>
        <w:t xml:space="preserve"> </w:t>
      </w:r>
      <w:r w:rsidR="00981BCE" w:rsidRPr="00903BCB">
        <w:rPr>
          <w:sz w:val="24"/>
          <w:szCs w:val="24"/>
        </w:rPr>
        <w:t>sector policymaking and implementation</w:t>
      </w:r>
      <w:r w:rsidR="004066F2" w:rsidRPr="00903BCB">
        <w:rPr>
          <w:sz w:val="24"/>
          <w:szCs w:val="24"/>
        </w:rPr>
        <w:t>,</w:t>
      </w:r>
      <w:r w:rsidR="00981BCE" w:rsidRPr="00903BCB">
        <w:rPr>
          <w:sz w:val="24"/>
          <w:szCs w:val="24"/>
        </w:rPr>
        <w:t xml:space="preserve"> and (ii) </w:t>
      </w:r>
      <w:r w:rsidR="00276527" w:rsidRPr="00903BCB">
        <w:rPr>
          <w:sz w:val="24"/>
          <w:szCs w:val="24"/>
        </w:rPr>
        <w:t>effective social auditing of public sector performance.</w:t>
      </w:r>
      <w:r w:rsidR="00B9774F" w:rsidRPr="00903BCB">
        <w:rPr>
          <w:sz w:val="24"/>
          <w:szCs w:val="24"/>
        </w:rPr>
        <w:t xml:space="preserve"> </w:t>
      </w:r>
      <w:r w:rsidR="007C4751" w:rsidRPr="00903BCB">
        <w:rPr>
          <w:sz w:val="24"/>
          <w:szCs w:val="24"/>
        </w:rPr>
        <w:t xml:space="preserve">In </w:t>
      </w:r>
      <w:r w:rsidR="00F3222F" w:rsidRPr="00903BCB">
        <w:rPr>
          <w:sz w:val="24"/>
          <w:szCs w:val="24"/>
        </w:rPr>
        <w:t>h</w:t>
      </w:r>
      <w:r w:rsidR="007C4751" w:rsidRPr="00903BCB">
        <w:rPr>
          <w:sz w:val="24"/>
          <w:szCs w:val="24"/>
        </w:rPr>
        <w:t xml:space="preserve">is own words, King </w:t>
      </w:r>
      <w:r w:rsidR="007C4751" w:rsidRPr="00903BCB">
        <w:rPr>
          <w:color w:val="000000"/>
          <w:sz w:val="24"/>
          <w:szCs w:val="24"/>
        </w:rPr>
        <w:t>Abdullah II</w:t>
      </w:r>
      <w:r w:rsidR="00276527" w:rsidRPr="00903BCB">
        <w:rPr>
          <w:sz w:val="24"/>
          <w:szCs w:val="24"/>
        </w:rPr>
        <w:t xml:space="preserve"> </w:t>
      </w:r>
      <w:r w:rsidR="00B06F83" w:rsidRPr="00903BCB">
        <w:rPr>
          <w:sz w:val="24"/>
          <w:szCs w:val="24"/>
        </w:rPr>
        <w:t>is</w:t>
      </w:r>
      <w:r w:rsidR="00276527" w:rsidRPr="00903BCB">
        <w:rPr>
          <w:sz w:val="24"/>
          <w:szCs w:val="24"/>
        </w:rPr>
        <w:t xml:space="preserve"> driven by a “[…] </w:t>
      </w:r>
      <w:r w:rsidR="00276527" w:rsidRPr="00903BCB">
        <w:rPr>
          <w:iCs/>
          <w:sz w:val="24"/>
          <w:szCs w:val="24"/>
        </w:rPr>
        <w:t>keenness to have people in their respective</w:t>
      </w:r>
      <w:r w:rsidR="00B9774F" w:rsidRPr="00903BCB">
        <w:rPr>
          <w:sz w:val="24"/>
          <w:szCs w:val="24"/>
        </w:rPr>
        <w:t xml:space="preserve"> </w:t>
      </w:r>
      <w:r w:rsidR="00276527" w:rsidRPr="00903BCB">
        <w:rPr>
          <w:iCs/>
          <w:sz w:val="24"/>
          <w:szCs w:val="24"/>
        </w:rPr>
        <w:t>governorates participate in affai</w:t>
      </w:r>
      <w:r w:rsidR="008A3F05" w:rsidRPr="00903BCB">
        <w:rPr>
          <w:iCs/>
          <w:sz w:val="24"/>
          <w:szCs w:val="24"/>
        </w:rPr>
        <w:t>rs related to public facilities</w:t>
      </w:r>
      <w:r w:rsidR="00276527" w:rsidRPr="00903BCB">
        <w:rPr>
          <w:iCs/>
          <w:sz w:val="24"/>
          <w:szCs w:val="24"/>
        </w:rPr>
        <w:t>, investment priorities, expenditures on capital and service projects and in overseeing the performance of official bodies in all areas</w:t>
      </w:r>
      <w:r w:rsidR="00276527" w:rsidRPr="00903BCB">
        <w:rPr>
          <w:i/>
          <w:iCs/>
          <w:sz w:val="24"/>
          <w:szCs w:val="24"/>
        </w:rPr>
        <w:t xml:space="preserve"> </w:t>
      </w:r>
      <w:r w:rsidR="00276527" w:rsidRPr="00903BCB">
        <w:rPr>
          <w:sz w:val="24"/>
          <w:szCs w:val="24"/>
        </w:rPr>
        <w:t>[…]</w:t>
      </w:r>
      <w:r w:rsidR="004066F2" w:rsidRPr="00903BCB">
        <w:rPr>
          <w:sz w:val="24"/>
          <w:szCs w:val="24"/>
        </w:rPr>
        <w:t>.</w:t>
      </w:r>
      <w:r w:rsidR="00276527" w:rsidRPr="00903BCB">
        <w:rPr>
          <w:sz w:val="24"/>
          <w:szCs w:val="24"/>
        </w:rPr>
        <w:t>”</w:t>
      </w:r>
      <w:r w:rsidR="00276527" w:rsidRPr="00903BCB">
        <w:rPr>
          <w:rStyle w:val="FootnoteReference"/>
          <w:sz w:val="24"/>
          <w:szCs w:val="24"/>
        </w:rPr>
        <w:footnoteReference w:id="1"/>
      </w:r>
    </w:p>
    <w:p w14:paraId="319ECB1A" w14:textId="77777777" w:rsidR="00A57D3B" w:rsidRPr="00903BCB" w:rsidRDefault="00A57D3B" w:rsidP="00623945">
      <w:pPr>
        <w:spacing w:line="360" w:lineRule="auto"/>
        <w:ind w:left="0" w:right="0"/>
        <w:rPr>
          <w:sz w:val="24"/>
          <w:szCs w:val="24"/>
        </w:rPr>
      </w:pPr>
    </w:p>
    <w:p w14:paraId="33E26D94" w14:textId="4E381AD2" w:rsidR="005C2BA9" w:rsidRPr="00903BCB" w:rsidRDefault="00A57D3B" w:rsidP="00623945">
      <w:pPr>
        <w:spacing w:line="360" w:lineRule="auto"/>
        <w:ind w:left="0" w:right="0"/>
        <w:rPr>
          <w:sz w:val="24"/>
          <w:szCs w:val="24"/>
        </w:rPr>
      </w:pPr>
      <w:r w:rsidRPr="00903BCB">
        <w:rPr>
          <w:sz w:val="24"/>
          <w:szCs w:val="24"/>
        </w:rPr>
        <w:t>In the past few years</w:t>
      </w:r>
      <w:r w:rsidR="004066F2" w:rsidRPr="00903BCB">
        <w:rPr>
          <w:sz w:val="24"/>
          <w:szCs w:val="24"/>
        </w:rPr>
        <w:t>,</w:t>
      </w:r>
      <w:r w:rsidR="00B6005E" w:rsidRPr="00903BCB">
        <w:rPr>
          <w:sz w:val="24"/>
          <w:szCs w:val="24"/>
        </w:rPr>
        <w:t xml:space="preserve"> the G</w:t>
      </w:r>
      <w:r w:rsidR="005C2BA9" w:rsidRPr="00903BCB">
        <w:rPr>
          <w:sz w:val="24"/>
          <w:szCs w:val="24"/>
        </w:rPr>
        <w:t>overnment of Jordan has</w:t>
      </w:r>
      <w:r w:rsidRPr="00903BCB">
        <w:rPr>
          <w:sz w:val="24"/>
          <w:szCs w:val="24"/>
        </w:rPr>
        <w:t xml:space="preserve"> </w:t>
      </w:r>
      <w:r w:rsidR="002A11BB" w:rsidRPr="00903BCB">
        <w:rPr>
          <w:sz w:val="24"/>
          <w:szCs w:val="24"/>
        </w:rPr>
        <w:t>increased</w:t>
      </w:r>
      <w:r w:rsidRPr="00903BCB">
        <w:rPr>
          <w:sz w:val="24"/>
          <w:szCs w:val="24"/>
        </w:rPr>
        <w:t xml:space="preserve"> </w:t>
      </w:r>
      <w:r w:rsidR="002A11BB" w:rsidRPr="00903BCB">
        <w:rPr>
          <w:sz w:val="24"/>
          <w:szCs w:val="24"/>
        </w:rPr>
        <w:t xml:space="preserve">its </w:t>
      </w:r>
      <w:r w:rsidRPr="00903BCB">
        <w:rPr>
          <w:sz w:val="24"/>
          <w:szCs w:val="24"/>
        </w:rPr>
        <w:t xml:space="preserve">efforts towards decentralization. </w:t>
      </w:r>
      <w:r w:rsidR="005F3313" w:rsidRPr="00903BCB">
        <w:rPr>
          <w:sz w:val="24"/>
          <w:szCs w:val="24"/>
        </w:rPr>
        <w:t>T</w:t>
      </w:r>
      <w:r w:rsidR="005C2BA9" w:rsidRPr="00903BCB">
        <w:rPr>
          <w:sz w:val="24"/>
          <w:szCs w:val="24"/>
        </w:rPr>
        <w:t xml:space="preserve">he formation of the </w:t>
      </w:r>
      <w:r w:rsidR="00654336" w:rsidRPr="00903BCB">
        <w:rPr>
          <w:sz w:val="24"/>
          <w:szCs w:val="24"/>
        </w:rPr>
        <w:t>R</w:t>
      </w:r>
      <w:r w:rsidR="005C2BA9" w:rsidRPr="00903BCB">
        <w:rPr>
          <w:sz w:val="24"/>
          <w:szCs w:val="24"/>
        </w:rPr>
        <w:t>o</w:t>
      </w:r>
      <w:r w:rsidR="00654336" w:rsidRPr="00903BCB">
        <w:rPr>
          <w:sz w:val="24"/>
          <w:szCs w:val="24"/>
        </w:rPr>
        <w:t>yal Commission of the R</w:t>
      </w:r>
      <w:r w:rsidR="005C2BA9" w:rsidRPr="00903BCB">
        <w:rPr>
          <w:sz w:val="24"/>
          <w:szCs w:val="24"/>
        </w:rPr>
        <w:t>egions in 2005 was a major step in th</w:t>
      </w:r>
      <w:r w:rsidR="00096DE0" w:rsidRPr="00903BCB">
        <w:rPr>
          <w:sz w:val="24"/>
          <w:szCs w:val="24"/>
        </w:rPr>
        <w:t>is</w:t>
      </w:r>
      <w:r w:rsidR="005C2BA9" w:rsidRPr="00903BCB">
        <w:rPr>
          <w:sz w:val="24"/>
          <w:szCs w:val="24"/>
        </w:rPr>
        <w:t xml:space="preserve"> direction</w:t>
      </w:r>
      <w:r w:rsidR="00FE539F" w:rsidRPr="00903BCB">
        <w:rPr>
          <w:sz w:val="24"/>
          <w:szCs w:val="24"/>
        </w:rPr>
        <w:t xml:space="preserve"> (Regionalization draft law, 2005). </w:t>
      </w:r>
      <w:r w:rsidR="005C2BA9" w:rsidRPr="00903BCB">
        <w:rPr>
          <w:sz w:val="24"/>
          <w:szCs w:val="24"/>
        </w:rPr>
        <w:t xml:space="preserve">The </w:t>
      </w:r>
      <w:r w:rsidR="00981BCE" w:rsidRPr="00903BCB">
        <w:rPr>
          <w:sz w:val="24"/>
          <w:szCs w:val="24"/>
        </w:rPr>
        <w:t>main</w:t>
      </w:r>
      <w:r w:rsidR="005C2BA9" w:rsidRPr="00903BCB">
        <w:rPr>
          <w:sz w:val="24"/>
          <w:szCs w:val="24"/>
        </w:rPr>
        <w:t xml:space="preserve"> </w:t>
      </w:r>
      <w:r w:rsidR="005512E3" w:rsidRPr="00903BCB">
        <w:rPr>
          <w:sz w:val="24"/>
          <w:szCs w:val="24"/>
        </w:rPr>
        <w:t xml:space="preserve">goals of this </w:t>
      </w:r>
      <w:r w:rsidR="005C2BA9" w:rsidRPr="00903BCB">
        <w:rPr>
          <w:sz w:val="24"/>
          <w:szCs w:val="24"/>
        </w:rPr>
        <w:t xml:space="preserve">plan </w:t>
      </w:r>
      <w:r w:rsidR="00555D55" w:rsidRPr="00903BCB">
        <w:rPr>
          <w:sz w:val="24"/>
          <w:szCs w:val="24"/>
        </w:rPr>
        <w:t>were</w:t>
      </w:r>
      <w:r w:rsidR="005C2BA9" w:rsidRPr="00903BCB">
        <w:rPr>
          <w:sz w:val="24"/>
          <w:szCs w:val="24"/>
        </w:rPr>
        <w:t xml:space="preserve"> </w:t>
      </w:r>
      <w:r w:rsidR="005512E3" w:rsidRPr="00903BCB">
        <w:rPr>
          <w:sz w:val="24"/>
          <w:szCs w:val="24"/>
        </w:rPr>
        <w:t xml:space="preserve">(i) </w:t>
      </w:r>
      <w:r w:rsidR="005C2BA9" w:rsidRPr="00903BCB">
        <w:rPr>
          <w:sz w:val="24"/>
          <w:szCs w:val="24"/>
        </w:rPr>
        <w:t>to</w:t>
      </w:r>
      <w:r w:rsidR="005512E3" w:rsidRPr="00903BCB">
        <w:rPr>
          <w:sz w:val="24"/>
          <w:szCs w:val="24"/>
        </w:rPr>
        <w:t xml:space="preserve"> </w:t>
      </w:r>
      <w:r w:rsidRPr="00903BCB">
        <w:rPr>
          <w:sz w:val="24"/>
          <w:szCs w:val="24"/>
        </w:rPr>
        <w:t xml:space="preserve">administratively </w:t>
      </w:r>
      <w:r w:rsidR="005C2BA9" w:rsidRPr="00903BCB">
        <w:rPr>
          <w:sz w:val="24"/>
          <w:szCs w:val="24"/>
        </w:rPr>
        <w:t>divide the country into three regions (</w:t>
      </w:r>
      <w:r w:rsidR="005512E3" w:rsidRPr="00903BCB">
        <w:rPr>
          <w:sz w:val="24"/>
          <w:szCs w:val="24"/>
        </w:rPr>
        <w:t>i.e.</w:t>
      </w:r>
      <w:r w:rsidR="00BE5AD9" w:rsidRPr="00903BCB">
        <w:rPr>
          <w:sz w:val="24"/>
          <w:szCs w:val="24"/>
        </w:rPr>
        <w:t>,</w:t>
      </w:r>
      <w:r w:rsidR="005512E3" w:rsidRPr="00903BCB">
        <w:rPr>
          <w:sz w:val="24"/>
          <w:szCs w:val="24"/>
        </w:rPr>
        <w:t xml:space="preserve"> </w:t>
      </w:r>
      <w:r w:rsidR="005C2BA9" w:rsidRPr="00903BCB">
        <w:rPr>
          <w:sz w:val="24"/>
          <w:szCs w:val="24"/>
        </w:rPr>
        <w:t>North, Middle, and South)</w:t>
      </w:r>
      <w:r w:rsidR="004066F2" w:rsidRPr="00903BCB">
        <w:rPr>
          <w:sz w:val="24"/>
          <w:szCs w:val="24"/>
        </w:rPr>
        <w:t>,</w:t>
      </w:r>
      <w:r w:rsidR="005C2BA9" w:rsidRPr="00903BCB">
        <w:rPr>
          <w:sz w:val="24"/>
          <w:szCs w:val="24"/>
        </w:rPr>
        <w:t xml:space="preserve"> and </w:t>
      </w:r>
      <w:r w:rsidR="005512E3" w:rsidRPr="00903BCB">
        <w:rPr>
          <w:sz w:val="24"/>
          <w:szCs w:val="24"/>
        </w:rPr>
        <w:t xml:space="preserve">(ii) </w:t>
      </w:r>
      <w:r w:rsidR="005C2BA9" w:rsidRPr="00903BCB">
        <w:rPr>
          <w:sz w:val="24"/>
          <w:szCs w:val="24"/>
        </w:rPr>
        <w:t>to create</w:t>
      </w:r>
      <w:r w:rsidR="002A11BB" w:rsidRPr="00903BCB">
        <w:rPr>
          <w:sz w:val="24"/>
          <w:szCs w:val="24"/>
        </w:rPr>
        <w:t xml:space="preserve"> regional </w:t>
      </w:r>
      <w:r w:rsidR="005C2BA9" w:rsidRPr="00903BCB">
        <w:rPr>
          <w:sz w:val="24"/>
          <w:szCs w:val="24"/>
        </w:rPr>
        <w:t xml:space="preserve">elected councils </w:t>
      </w:r>
      <w:r w:rsidR="002A11BB" w:rsidRPr="00903BCB">
        <w:rPr>
          <w:sz w:val="24"/>
          <w:szCs w:val="24"/>
        </w:rPr>
        <w:t xml:space="preserve">(with </w:t>
      </w:r>
      <w:r w:rsidR="00096DE0" w:rsidRPr="00903BCB">
        <w:rPr>
          <w:sz w:val="24"/>
          <w:szCs w:val="24"/>
        </w:rPr>
        <w:t>members</w:t>
      </w:r>
      <w:r w:rsidR="005C2BA9" w:rsidRPr="00903BCB">
        <w:rPr>
          <w:sz w:val="24"/>
          <w:szCs w:val="24"/>
        </w:rPr>
        <w:t xml:space="preserve"> </w:t>
      </w:r>
      <w:r w:rsidR="002A11BB" w:rsidRPr="00903BCB">
        <w:rPr>
          <w:sz w:val="24"/>
          <w:szCs w:val="24"/>
        </w:rPr>
        <w:t xml:space="preserve">from </w:t>
      </w:r>
      <w:r w:rsidR="005C2BA9" w:rsidRPr="00903BCB">
        <w:rPr>
          <w:sz w:val="24"/>
          <w:szCs w:val="24"/>
        </w:rPr>
        <w:t>each governorate</w:t>
      </w:r>
      <w:r w:rsidR="002A11BB" w:rsidRPr="00903BCB">
        <w:rPr>
          <w:sz w:val="24"/>
          <w:szCs w:val="24"/>
        </w:rPr>
        <w:t>)</w:t>
      </w:r>
      <w:r w:rsidR="00FE7C34" w:rsidRPr="00903BCB">
        <w:rPr>
          <w:sz w:val="24"/>
          <w:szCs w:val="24"/>
        </w:rPr>
        <w:t xml:space="preserve"> responsib</w:t>
      </w:r>
      <w:r w:rsidR="002A11BB" w:rsidRPr="00903BCB">
        <w:rPr>
          <w:sz w:val="24"/>
          <w:szCs w:val="24"/>
        </w:rPr>
        <w:t>le</w:t>
      </w:r>
      <w:r w:rsidR="005512E3" w:rsidRPr="00903BCB">
        <w:rPr>
          <w:sz w:val="24"/>
          <w:szCs w:val="24"/>
        </w:rPr>
        <w:t xml:space="preserve"> for </w:t>
      </w:r>
      <w:r w:rsidR="005C2BA9" w:rsidRPr="00903BCB">
        <w:rPr>
          <w:sz w:val="24"/>
          <w:szCs w:val="24"/>
        </w:rPr>
        <w:t>local development.</w:t>
      </w:r>
      <w:r w:rsidR="00DF4FC1" w:rsidRPr="00903BCB">
        <w:rPr>
          <w:sz w:val="24"/>
          <w:szCs w:val="24"/>
        </w:rPr>
        <w:t xml:space="preserve"> </w:t>
      </w:r>
      <w:r w:rsidR="00BE5AD9" w:rsidRPr="00903BCB">
        <w:rPr>
          <w:sz w:val="24"/>
          <w:szCs w:val="24"/>
        </w:rPr>
        <w:t>T</w:t>
      </w:r>
      <w:r w:rsidR="00320569" w:rsidRPr="00903BCB">
        <w:rPr>
          <w:sz w:val="24"/>
          <w:szCs w:val="24"/>
        </w:rPr>
        <w:t xml:space="preserve">he </w:t>
      </w:r>
      <w:r w:rsidR="00BE5AD9" w:rsidRPr="00903BCB">
        <w:rPr>
          <w:sz w:val="24"/>
          <w:szCs w:val="24"/>
        </w:rPr>
        <w:t xml:space="preserve">regional councils </w:t>
      </w:r>
      <w:r w:rsidR="00815209" w:rsidRPr="00903BCB">
        <w:rPr>
          <w:sz w:val="24"/>
          <w:szCs w:val="24"/>
        </w:rPr>
        <w:t xml:space="preserve">would operate as an </w:t>
      </w:r>
      <w:r w:rsidR="00320569" w:rsidRPr="00903BCB">
        <w:rPr>
          <w:sz w:val="24"/>
          <w:szCs w:val="24"/>
        </w:rPr>
        <w:t>intermediate administrative level between the central government and the governorates.</w:t>
      </w:r>
      <w:r w:rsidR="00320569" w:rsidRPr="00903BCB">
        <w:rPr>
          <w:rStyle w:val="FootnoteReference"/>
          <w:sz w:val="24"/>
          <w:szCs w:val="24"/>
        </w:rPr>
        <w:t xml:space="preserve"> </w:t>
      </w:r>
      <w:r w:rsidR="00320569" w:rsidRPr="00903BCB">
        <w:rPr>
          <w:rStyle w:val="FootnoteReference"/>
          <w:sz w:val="24"/>
          <w:szCs w:val="24"/>
        </w:rPr>
        <w:footnoteReference w:id="2"/>
      </w:r>
    </w:p>
    <w:p w14:paraId="6EF3DDCE" w14:textId="77777777" w:rsidR="00B9774F" w:rsidRPr="00903BCB" w:rsidRDefault="004D0D2F" w:rsidP="004D0D2F">
      <w:pPr>
        <w:tabs>
          <w:tab w:val="left" w:pos="2820"/>
        </w:tabs>
        <w:spacing w:line="360" w:lineRule="auto"/>
        <w:ind w:left="0" w:right="0"/>
        <w:rPr>
          <w:sz w:val="24"/>
          <w:szCs w:val="24"/>
        </w:rPr>
      </w:pPr>
      <w:r w:rsidRPr="00903BCB">
        <w:rPr>
          <w:sz w:val="24"/>
          <w:szCs w:val="24"/>
        </w:rPr>
        <w:tab/>
      </w:r>
    </w:p>
    <w:p w14:paraId="1C912C03" w14:textId="0CB1DAAA" w:rsidR="003B3A6C" w:rsidRPr="00903BCB" w:rsidRDefault="003B3A6C" w:rsidP="00623945">
      <w:pPr>
        <w:spacing w:line="360" w:lineRule="auto"/>
        <w:ind w:left="0" w:right="0"/>
        <w:rPr>
          <w:sz w:val="24"/>
          <w:szCs w:val="24"/>
        </w:rPr>
      </w:pPr>
      <w:r w:rsidRPr="00903BCB">
        <w:rPr>
          <w:sz w:val="24"/>
          <w:szCs w:val="24"/>
        </w:rPr>
        <w:t>In February of 2008</w:t>
      </w:r>
      <w:r w:rsidR="00547498" w:rsidRPr="00903BCB">
        <w:rPr>
          <w:sz w:val="24"/>
          <w:szCs w:val="24"/>
        </w:rPr>
        <w:t>,</w:t>
      </w:r>
      <w:r w:rsidRPr="00903BCB">
        <w:rPr>
          <w:sz w:val="24"/>
          <w:szCs w:val="24"/>
        </w:rPr>
        <w:t xml:space="preserve"> the Prime Minister ordered the transfer of 92 specific functions from the central ministries to their representative</w:t>
      </w:r>
      <w:r w:rsidR="00DB4F69" w:rsidRPr="00903BCB">
        <w:rPr>
          <w:sz w:val="24"/>
          <w:szCs w:val="24"/>
        </w:rPr>
        <w:t>s</w:t>
      </w:r>
      <w:r w:rsidRPr="00903BCB">
        <w:rPr>
          <w:sz w:val="24"/>
          <w:szCs w:val="24"/>
        </w:rPr>
        <w:t xml:space="preserve"> at the governorate level</w:t>
      </w:r>
      <w:r w:rsidR="00393E9D" w:rsidRPr="00903BCB">
        <w:rPr>
          <w:sz w:val="24"/>
          <w:szCs w:val="24"/>
        </w:rPr>
        <w:t xml:space="preserve"> (UNDP 2009)</w:t>
      </w:r>
      <w:r w:rsidRPr="00903BCB">
        <w:rPr>
          <w:sz w:val="24"/>
          <w:szCs w:val="24"/>
        </w:rPr>
        <w:t xml:space="preserve">. The </w:t>
      </w:r>
      <w:r w:rsidR="003A370E" w:rsidRPr="00903BCB">
        <w:rPr>
          <w:sz w:val="24"/>
          <w:szCs w:val="24"/>
        </w:rPr>
        <w:t>intended result</w:t>
      </w:r>
      <w:r w:rsidRPr="00903BCB">
        <w:rPr>
          <w:sz w:val="24"/>
          <w:szCs w:val="24"/>
        </w:rPr>
        <w:t xml:space="preserve"> of </w:t>
      </w:r>
      <w:r w:rsidR="006D2986" w:rsidRPr="00903BCB">
        <w:rPr>
          <w:sz w:val="24"/>
          <w:szCs w:val="24"/>
        </w:rPr>
        <w:t>deconcentrating</w:t>
      </w:r>
      <w:r w:rsidR="00D703C8" w:rsidRPr="00903BCB">
        <w:rPr>
          <w:sz w:val="24"/>
          <w:szCs w:val="24"/>
        </w:rPr>
        <w:t xml:space="preserve"> </w:t>
      </w:r>
      <w:r w:rsidR="00723BB2" w:rsidRPr="00903BCB">
        <w:rPr>
          <w:sz w:val="24"/>
          <w:szCs w:val="24"/>
        </w:rPr>
        <w:t>authority and resources</w:t>
      </w:r>
      <w:r w:rsidR="00D703C8" w:rsidRPr="00903BCB">
        <w:rPr>
          <w:sz w:val="24"/>
          <w:szCs w:val="24"/>
        </w:rPr>
        <w:t xml:space="preserve"> </w:t>
      </w:r>
      <w:r w:rsidRPr="00903BCB">
        <w:rPr>
          <w:sz w:val="24"/>
          <w:szCs w:val="24"/>
        </w:rPr>
        <w:t>was to make services more accessible and service deli</w:t>
      </w:r>
      <w:r w:rsidR="00815209" w:rsidRPr="00903BCB">
        <w:rPr>
          <w:sz w:val="24"/>
          <w:szCs w:val="24"/>
        </w:rPr>
        <w:t xml:space="preserve">very more efficient at the governorate </w:t>
      </w:r>
      <w:r w:rsidRPr="00903BCB">
        <w:rPr>
          <w:sz w:val="24"/>
          <w:szCs w:val="24"/>
        </w:rPr>
        <w:t>level.</w:t>
      </w:r>
    </w:p>
    <w:p w14:paraId="08523274" w14:textId="77777777" w:rsidR="003B3A6C" w:rsidRPr="00903BCB" w:rsidRDefault="003B3A6C" w:rsidP="00623945">
      <w:pPr>
        <w:spacing w:line="360" w:lineRule="auto"/>
        <w:ind w:left="0" w:right="0"/>
        <w:rPr>
          <w:sz w:val="24"/>
          <w:szCs w:val="24"/>
        </w:rPr>
      </w:pPr>
    </w:p>
    <w:p w14:paraId="54664AEE" w14:textId="2592E5F7" w:rsidR="00B9774F" w:rsidRPr="00903BCB" w:rsidRDefault="00723BB2" w:rsidP="00623945">
      <w:pPr>
        <w:spacing w:line="360" w:lineRule="auto"/>
        <w:ind w:left="0" w:right="0"/>
        <w:rPr>
          <w:i/>
          <w:iCs/>
          <w:sz w:val="24"/>
          <w:szCs w:val="24"/>
        </w:rPr>
      </w:pPr>
      <w:r w:rsidRPr="00903BCB">
        <w:rPr>
          <w:sz w:val="24"/>
          <w:szCs w:val="24"/>
        </w:rPr>
        <w:t>I</w:t>
      </w:r>
      <w:r w:rsidR="00B9774F" w:rsidRPr="00903BCB">
        <w:rPr>
          <w:sz w:val="24"/>
          <w:szCs w:val="24"/>
        </w:rPr>
        <w:t xml:space="preserve">n October </w:t>
      </w:r>
      <w:r w:rsidR="00023005" w:rsidRPr="00903BCB">
        <w:rPr>
          <w:sz w:val="24"/>
          <w:szCs w:val="24"/>
        </w:rPr>
        <w:t xml:space="preserve">of </w:t>
      </w:r>
      <w:r w:rsidR="00B9774F" w:rsidRPr="00903BCB">
        <w:rPr>
          <w:sz w:val="24"/>
          <w:szCs w:val="24"/>
        </w:rPr>
        <w:t>2008</w:t>
      </w:r>
      <w:r w:rsidR="00547498" w:rsidRPr="00903BCB">
        <w:rPr>
          <w:sz w:val="24"/>
          <w:szCs w:val="24"/>
        </w:rPr>
        <w:t>,</w:t>
      </w:r>
      <w:r w:rsidR="00B9774F" w:rsidRPr="00903BCB">
        <w:rPr>
          <w:sz w:val="24"/>
          <w:szCs w:val="24"/>
        </w:rPr>
        <w:t xml:space="preserve"> </w:t>
      </w:r>
      <w:r w:rsidR="001D0415" w:rsidRPr="00903BCB">
        <w:rPr>
          <w:sz w:val="24"/>
          <w:szCs w:val="24"/>
        </w:rPr>
        <w:t>the King</w:t>
      </w:r>
      <w:r w:rsidR="00B9774F" w:rsidRPr="00903BCB">
        <w:rPr>
          <w:sz w:val="24"/>
          <w:szCs w:val="24"/>
        </w:rPr>
        <w:t xml:space="preserve"> </w:t>
      </w:r>
      <w:r w:rsidR="00023005" w:rsidRPr="00903BCB">
        <w:rPr>
          <w:sz w:val="24"/>
          <w:szCs w:val="24"/>
        </w:rPr>
        <w:t>stated</w:t>
      </w:r>
      <w:r w:rsidRPr="00903BCB">
        <w:rPr>
          <w:sz w:val="24"/>
          <w:szCs w:val="24"/>
        </w:rPr>
        <w:t>,</w:t>
      </w:r>
      <w:r w:rsidR="004066F2" w:rsidRPr="00903BCB">
        <w:rPr>
          <w:sz w:val="24"/>
          <w:szCs w:val="24"/>
        </w:rPr>
        <w:t xml:space="preserve"> </w:t>
      </w:r>
      <w:r w:rsidR="00B9774F" w:rsidRPr="00903BCB">
        <w:rPr>
          <w:iCs/>
          <w:sz w:val="24"/>
          <w:szCs w:val="24"/>
        </w:rPr>
        <w:t>“</w:t>
      </w:r>
      <w:r w:rsidR="00FD4240" w:rsidRPr="00903BCB">
        <w:rPr>
          <w:iCs/>
          <w:sz w:val="24"/>
          <w:szCs w:val="24"/>
        </w:rPr>
        <w:t>p</w:t>
      </w:r>
      <w:r w:rsidR="00B9774F" w:rsidRPr="00903BCB">
        <w:rPr>
          <w:iCs/>
          <w:sz w:val="24"/>
          <w:szCs w:val="24"/>
        </w:rPr>
        <w:t>articipation in decision-making and implementation, especially in the governorates, requires envisioning a local administrative system that tends to be decentralized and that guarantees quick and efficient implementation.”</w:t>
      </w:r>
      <w:r w:rsidR="00B9774F" w:rsidRPr="00903BCB">
        <w:rPr>
          <w:sz w:val="24"/>
          <w:szCs w:val="24"/>
        </w:rPr>
        <w:t xml:space="preserve"> </w:t>
      </w:r>
      <w:r w:rsidR="00023005" w:rsidRPr="00903BCB">
        <w:rPr>
          <w:sz w:val="24"/>
          <w:szCs w:val="24"/>
        </w:rPr>
        <w:t>He</w:t>
      </w:r>
      <w:r w:rsidR="00B9774F" w:rsidRPr="00903BCB">
        <w:rPr>
          <w:sz w:val="24"/>
          <w:szCs w:val="24"/>
        </w:rPr>
        <w:t xml:space="preserve"> added</w:t>
      </w:r>
      <w:r w:rsidRPr="00903BCB">
        <w:rPr>
          <w:sz w:val="24"/>
          <w:szCs w:val="24"/>
        </w:rPr>
        <w:t xml:space="preserve">, </w:t>
      </w:r>
      <w:r w:rsidR="00DB4F69" w:rsidRPr="00903BCB">
        <w:rPr>
          <w:iCs/>
          <w:sz w:val="24"/>
          <w:szCs w:val="24"/>
        </w:rPr>
        <w:t>“</w:t>
      </w:r>
      <w:r w:rsidR="00B9774F" w:rsidRPr="00903BCB">
        <w:rPr>
          <w:iCs/>
          <w:sz w:val="24"/>
          <w:szCs w:val="24"/>
        </w:rPr>
        <w:t>reactivating local government administration is the best means to expand the basis of public participation and to foster political, social and economic development” and “our vision for social and economic development goes hand-in-hand with our vision for political development which aims at expanding participation in decision</w:t>
      </w:r>
      <w:r w:rsidR="004066F2" w:rsidRPr="00903BCB">
        <w:rPr>
          <w:iCs/>
          <w:sz w:val="24"/>
          <w:szCs w:val="24"/>
        </w:rPr>
        <w:t>-</w:t>
      </w:r>
      <w:r w:rsidR="00B9774F" w:rsidRPr="00903BCB">
        <w:rPr>
          <w:iCs/>
          <w:sz w:val="24"/>
          <w:szCs w:val="24"/>
        </w:rPr>
        <w:t>making and implementation, and at anchoring the principles of participation and accountability and equal opportunities.”</w:t>
      </w:r>
    </w:p>
    <w:p w14:paraId="73556E8A" w14:textId="77777777" w:rsidR="00F16F1E" w:rsidRPr="00903BCB" w:rsidRDefault="00F16F1E" w:rsidP="00623945">
      <w:pPr>
        <w:spacing w:line="360" w:lineRule="auto"/>
        <w:ind w:left="0" w:right="0"/>
        <w:rPr>
          <w:sz w:val="24"/>
          <w:szCs w:val="24"/>
        </w:rPr>
      </w:pPr>
    </w:p>
    <w:p w14:paraId="2F7E9B6C" w14:textId="4A65A546" w:rsidR="007D7804" w:rsidRPr="00903BCB" w:rsidRDefault="00BF45C5" w:rsidP="00623945">
      <w:pPr>
        <w:spacing w:line="360" w:lineRule="auto"/>
        <w:ind w:left="0" w:right="0"/>
        <w:rPr>
          <w:sz w:val="24"/>
          <w:szCs w:val="24"/>
        </w:rPr>
      </w:pPr>
      <w:r w:rsidRPr="00903BCB">
        <w:rPr>
          <w:rFonts w:eastAsia="Times New Roman"/>
          <w:sz w:val="24"/>
          <w:szCs w:val="24"/>
        </w:rPr>
        <w:t>In 2010</w:t>
      </w:r>
      <w:r w:rsidR="00547498" w:rsidRPr="00903BCB">
        <w:rPr>
          <w:rFonts w:eastAsia="Times New Roman"/>
          <w:sz w:val="24"/>
          <w:szCs w:val="24"/>
        </w:rPr>
        <w:t>,</w:t>
      </w:r>
      <w:r w:rsidR="00B02BD4" w:rsidRPr="00903BCB">
        <w:rPr>
          <w:rFonts w:eastAsia="Times New Roman"/>
          <w:sz w:val="24"/>
          <w:szCs w:val="24"/>
        </w:rPr>
        <w:t xml:space="preserve"> t</w:t>
      </w:r>
      <w:r w:rsidR="005B2727" w:rsidRPr="00903BCB">
        <w:rPr>
          <w:rFonts w:eastAsia="Times New Roman"/>
          <w:sz w:val="24"/>
          <w:szCs w:val="24"/>
        </w:rPr>
        <w:t xml:space="preserve">he </w:t>
      </w:r>
      <w:r w:rsidR="00547498" w:rsidRPr="00903BCB">
        <w:rPr>
          <w:rFonts w:eastAsia="Times New Roman"/>
          <w:sz w:val="24"/>
          <w:szCs w:val="24"/>
        </w:rPr>
        <w:t xml:space="preserve">Local Council </w:t>
      </w:r>
      <w:r w:rsidR="005B2727" w:rsidRPr="00903BCB">
        <w:rPr>
          <w:sz w:val="24"/>
          <w:szCs w:val="24"/>
        </w:rPr>
        <w:t xml:space="preserve">Law </w:t>
      </w:r>
      <w:r w:rsidR="007B30C8" w:rsidRPr="00903BCB">
        <w:rPr>
          <w:sz w:val="24"/>
          <w:szCs w:val="24"/>
        </w:rPr>
        <w:t xml:space="preserve">allowed </w:t>
      </w:r>
      <w:r w:rsidR="007D7804" w:rsidRPr="00903BCB">
        <w:rPr>
          <w:sz w:val="24"/>
          <w:szCs w:val="24"/>
        </w:rPr>
        <w:t xml:space="preserve">the </w:t>
      </w:r>
      <w:r w:rsidR="00547498" w:rsidRPr="00903BCB">
        <w:rPr>
          <w:sz w:val="24"/>
          <w:szCs w:val="24"/>
        </w:rPr>
        <w:t xml:space="preserve">creation of </w:t>
      </w:r>
      <w:r w:rsidR="00EE3E01" w:rsidRPr="00903BCB">
        <w:rPr>
          <w:sz w:val="24"/>
          <w:szCs w:val="24"/>
        </w:rPr>
        <w:t>l</w:t>
      </w:r>
      <w:r w:rsidR="00547498" w:rsidRPr="00903BCB">
        <w:rPr>
          <w:sz w:val="24"/>
          <w:szCs w:val="24"/>
        </w:rPr>
        <w:t xml:space="preserve">ocal and </w:t>
      </w:r>
      <w:r w:rsidR="00EE3E01" w:rsidRPr="00903BCB">
        <w:rPr>
          <w:sz w:val="24"/>
          <w:szCs w:val="24"/>
        </w:rPr>
        <w:t>e</w:t>
      </w:r>
      <w:r w:rsidR="007D7804" w:rsidRPr="00903BCB">
        <w:rPr>
          <w:sz w:val="24"/>
          <w:szCs w:val="24"/>
        </w:rPr>
        <w:t xml:space="preserve">xecutive </w:t>
      </w:r>
      <w:r w:rsidR="00EE3E01" w:rsidRPr="00903BCB">
        <w:rPr>
          <w:sz w:val="24"/>
          <w:szCs w:val="24"/>
        </w:rPr>
        <w:t>c</w:t>
      </w:r>
      <w:r w:rsidR="007D7804" w:rsidRPr="00903BCB">
        <w:rPr>
          <w:sz w:val="24"/>
          <w:szCs w:val="24"/>
        </w:rPr>
        <w:t>ouncils at the governorate level, in addi</w:t>
      </w:r>
      <w:r w:rsidRPr="00903BCB">
        <w:rPr>
          <w:sz w:val="24"/>
          <w:szCs w:val="24"/>
        </w:rPr>
        <w:t xml:space="preserve">tion to the </w:t>
      </w:r>
      <w:r w:rsidR="00D75589" w:rsidRPr="00903BCB">
        <w:rPr>
          <w:sz w:val="24"/>
          <w:szCs w:val="24"/>
        </w:rPr>
        <w:t xml:space="preserve">existing </w:t>
      </w:r>
      <w:r w:rsidR="00EE3E01" w:rsidRPr="00903BCB">
        <w:rPr>
          <w:sz w:val="24"/>
          <w:szCs w:val="24"/>
        </w:rPr>
        <w:t>m</w:t>
      </w:r>
      <w:r w:rsidRPr="00903BCB">
        <w:rPr>
          <w:sz w:val="24"/>
          <w:szCs w:val="24"/>
        </w:rPr>
        <w:t xml:space="preserve">unicipal </w:t>
      </w:r>
      <w:r w:rsidR="00EE3E01" w:rsidRPr="00903BCB">
        <w:rPr>
          <w:sz w:val="24"/>
          <w:szCs w:val="24"/>
        </w:rPr>
        <w:t>c</w:t>
      </w:r>
      <w:r w:rsidRPr="00903BCB">
        <w:rPr>
          <w:sz w:val="24"/>
          <w:szCs w:val="24"/>
        </w:rPr>
        <w:t>ouncils</w:t>
      </w:r>
      <w:r w:rsidR="007970B3" w:rsidRPr="00903BCB">
        <w:rPr>
          <w:sz w:val="24"/>
          <w:szCs w:val="24"/>
        </w:rPr>
        <w:t xml:space="preserve"> (MOI 2010)</w:t>
      </w:r>
      <w:r w:rsidRPr="00903BCB">
        <w:rPr>
          <w:sz w:val="24"/>
          <w:szCs w:val="24"/>
        </w:rPr>
        <w:t>. According to this law</w:t>
      </w:r>
      <w:r w:rsidR="00547498" w:rsidRPr="00903BCB">
        <w:rPr>
          <w:sz w:val="24"/>
          <w:szCs w:val="24"/>
        </w:rPr>
        <w:t>,</w:t>
      </w:r>
      <w:r w:rsidRPr="00903BCB">
        <w:rPr>
          <w:sz w:val="24"/>
          <w:szCs w:val="24"/>
        </w:rPr>
        <w:t xml:space="preserve"> </w:t>
      </w:r>
      <w:r w:rsidR="00EE3E01" w:rsidRPr="00903BCB">
        <w:rPr>
          <w:bCs/>
          <w:sz w:val="24"/>
          <w:szCs w:val="24"/>
        </w:rPr>
        <w:t>l</w:t>
      </w:r>
      <w:r w:rsidR="007D7804" w:rsidRPr="00903BCB">
        <w:rPr>
          <w:bCs/>
          <w:sz w:val="24"/>
          <w:szCs w:val="24"/>
        </w:rPr>
        <w:t xml:space="preserve">ocal </w:t>
      </w:r>
      <w:r w:rsidR="00EE3E01" w:rsidRPr="00903BCB">
        <w:rPr>
          <w:bCs/>
          <w:sz w:val="24"/>
          <w:szCs w:val="24"/>
        </w:rPr>
        <w:t>c</w:t>
      </w:r>
      <w:r w:rsidR="007D7804" w:rsidRPr="00903BCB">
        <w:rPr>
          <w:bCs/>
          <w:sz w:val="24"/>
          <w:szCs w:val="24"/>
        </w:rPr>
        <w:t xml:space="preserve">ouncils </w:t>
      </w:r>
      <w:r w:rsidR="007D7804" w:rsidRPr="00903BCB">
        <w:rPr>
          <w:sz w:val="24"/>
          <w:szCs w:val="24"/>
        </w:rPr>
        <w:t xml:space="preserve">are composed of </w:t>
      </w:r>
      <w:r w:rsidR="004066F2" w:rsidRPr="00903BCB">
        <w:rPr>
          <w:sz w:val="24"/>
          <w:szCs w:val="24"/>
        </w:rPr>
        <w:t>thirty</w:t>
      </w:r>
      <w:r w:rsidR="007D7804" w:rsidRPr="00903BCB">
        <w:rPr>
          <w:sz w:val="24"/>
          <w:szCs w:val="24"/>
        </w:rPr>
        <w:t xml:space="preserve"> members</w:t>
      </w:r>
      <w:r w:rsidR="00D75589" w:rsidRPr="00903BCB">
        <w:rPr>
          <w:sz w:val="24"/>
          <w:szCs w:val="24"/>
        </w:rPr>
        <w:t>,</w:t>
      </w:r>
      <w:r w:rsidR="007D7804" w:rsidRPr="00903BCB">
        <w:rPr>
          <w:sz w:val="24"/>
          <w:szCs w:val="24"/>
        </w:rPr>
        <w:t xml:space="preserve"> </w:t>
      </w:r>
      <w:r w:rsidR="00547498" w:rsidRPr="00903BCB">
        <w:rPr>
          <w:sz w:val="24"/>
          <w:szCs w:val="24"/>
        </w:rPr>
        <w:t>of which</w:t>
      </w:r>
      <w:r w:rsidR="007D7804" w:rsidRPr="00903BCB">
        <w:rPr>
          <w:sz w:val="24"/>
          <w:szCs w:val="24"/>
        </w:rPr>
        <w:t xml:space="preserve"> </w:t>
      </w:r>
      <w:r w:rsidR="004066F2" w:rsidRPr="00903BCB">
        <w:rPr>
          <w:sz w:val="24"/>
          <w:szCs w:val="24"/>
        </w:rPr>
        <w:t>twenty</w:t>
      </w:r>
      <w:r w:rsidR="007D7804" w:rsidRPr="00903BCB">
        <w:rPr>
          <w:sz w:val="24"/>
          <w:szCs w:val="24"/>
        </w:rPr>
        <w:t xml:space="preserve"> </w:t>
      </w:r>
      <w:r w:rsidR="00547498" w:rsidRPr="00903BCB">
        <w:rPr>
          <w:sz w:val="24"/>
          <w:szCs w:val="24"/>
        </w:rPr>
        <w:t xml:space="preserve">are </w:t>
      </w:r>
      <w:r w:rsidR="007D7804" w:rsidRPr="00903BCB">
        <w:rPr>
          <w:sz w:val="24"/>
          <w:szCs w:val="24"/>
        </w:rPr>
        <w:t>elected (</w:t>
      </w:r>
      <w:r w:rsidR="004066F2" w:rsidRPr="00903BCB">
        <w:rPr>
          <w:sz w:val="24"/>
          <w:szCs w:val="24"/>
        </w:rPr>
        <w:t xml:space="preserve">with a </w:t>
      </w:r>
      <w:r w:rsidR="007D7804" w:rsidRPr="00903BCB">
        <w:rPr>
          <w:sz w:val="24"/>
          <w:szCs w:val="24"/>
        </w:rPr>
        <w:t xml:space="preserve">20% quota </w:t>
      </w:r>
      <w:r w:rsidR="004066F2" w:rsidRPr="00903BCB">
        <w:rPr>
          <w:sz w:val="24"/>
          <w:szCs w:val="24"/>
        </w:rPr>
        <w:t>of</w:t>
      </w:r>
      <w:r w:rsidR="007D7804" w:rsidRPr="00903BCB">
        <w:rPr>
          <w:sz w:val="24"/>
          <w:szCs w:val="24"/>
        </w:rPr>
        <w:t xml:space="preserve"> women) and </w:t>
      </w:r>
      <w:r w:rsidR="004066F2" w:rsidRPr="00903BCB">
        <w:rPr>
          <w:sz w:val="24"/>
          <w:szCs w:val="24"/>
        </w:rPr>
        <w:t>ten</w:t>
      </w:r>
      <w:r w:rsidR="007D7804" w:rsidRPr="00903BCB">
        <w:rPr>
          <w:sz w:val="24"/>
          <w:szCs w:val="24"/>
        </w:rPr>
        <w:t xml:space="preserve"> </w:t>
      </w:r>
      <w:r w:rsidR="00547498" w:rsidRPr="00903BCB">
        <w:rPr>
          <w:sz w:val="24"/>
          <w:szCs w:val="24"/>
        </w:rPr>
        <w:t xml:space="preserve">are </w:t>
      </w:r>
      <w:r w:rsidR="007D7804" w:rsidRPr="00903BCB">
        <w:rPr>
          <w:sz w:val="24"/>
          <w:szCs w:val="24"/>
        </w:rPr>
        <w:t xml:space="preserve">appointed by the </w:t>
      </w:r>
      <w:r w:rsidR="00ED141E" w:rsidRPr="00903BCB">
        <w:rPr>
          <w:sz w:val="24"/>
          <w:szCs w:val="24"/>
        </w:rPr>
        <w:t xml:space="preserve">Prime </w:t>
      </w:r>
      <w:r w:rsidRPr="00903BCB">
        <w:rPr>
          <w:sz w:val="24"/>
          <w:szCs w:val="24"/>
        </w:rPr>
        <w:t>Minister</w:t>
      </w:r>
      <w:r w:rsidR="007D7804" w:rsidRPr="00903BCB">
        <w:rPr>
          <w:sz w:val="24"/>
          <w:szCs w:val="24"/>
        </w:rPr>
        <w:t xml:space="preserve"> upo</w:t>
      </w:r>
      <w:r w:rsidRPr="00903BCB">
        <w:rPr>
          <w:sz w:val="24"/>
          <w:szCs w:val="24"/>
        </w:rPr>
        <w:t xml:space="preserve">n </w:t>
      </w:r>
      <w:r w:rsidR="004066F2" w:rsidRPr="00903BCB">
        <w:rPr>
          <w:sz w:val="24"/>
          <w:szCs w:val="24"/>
        </w:rPr>
        <w:t xml:space="preserve">the </w:t>
      </w:r>
      <w:r w:rsidR="00070DA0" w:rsidRPr="00903BCB">
        <w:rPr>
          <w:sz w:val="24"/>
          <w:szCs w:val="24"/>
        </w:rPr>
        <w:t>g</w:t>
      </w:r>
      <w:r w:rsidRPr="00903BCB">
        <w:rPr>
          <w:sz w:val="24"/>
          <w:szCs w:val="24"/>
        </w:rPr>
        <w:t xml:space="preserve">overnor’s recommendation. </w:t>
      </w:r>
      <w:r w:rsidR="00D75589" w:rsidRPr="00903BCB">
        <w:rPr>
          <w:bCs/>
          <w:sz w:val="24"/>
          <w:szCs w:val="24"/>
        </w:rPr>
        <w:t>E</w:t>
      </w:r>
      <w:r w:rsidR="007D7804" w:rsidRPr="00903BCB">
        <w:rPr>
          <w:bCs/>
          <w:sz w:val="24"/>
          <w:szCs w:val="24"/>
        </w:rPr>
        <w:t xml:space="preserve">xecutive </w:t>
      </w:r>
      <w:r w:rsidR="00070DA0" w:rsidRPr="00903BCB">
        <w:rPr>
          <w:bCs/>
          <w:sz w:val="24"/>
          <w:szCs w:val="24"/>
        </w:rPr>
        <w:t>c</w:t>
      </w:r>
      <w:r w:rsidR="007D7804" w:rsidRPr="00903BCB">
        <w:rPr>
          <w:bCs/>
          <w:sz w:val="24"/>
          <w:szCs w:val="24"/>
        </w:rPr>
        <w:t>ouncils</w:t>
      </w:r>
      <w:r w:rsidR="007D7804" w:rsidRPr="00903BCB">
        <w:rPr>
          <w:sz w:val="24"/>
          <w:szCs w:val="24"/>
        </w:rPr>
        <w:t xml:space="preserve"> are </w:t>
      </w:r>
      <w:r w:rsidRPr="00903BCB">
        <w:rPr>
          <w:sz w:val="24"/>
          <w:szCs w:val="24"/>
        </w:rPr>
        <w:t xml:space="preserve">composed of </w:t>
      </w:r>
      <w:r w:rsidR="00D75589" w:rsidRPr="00903BCB">
        <w:rPr>
          <w:sz w:val="24"/>
          <w:szCs w:val="24"/>
        </w:rPr>
        <w:t>line ministry</w:t>
      </w:r>
      <w:r w:rsidRPr="00903BCB">
        <w:rPr>
          <w:sz w:val="24"/>
          <w:szCs w:val="24"/>
        </w:rPr>
        <w:t xml:space="preserve"> directors</w:t>
      </w:r>
      <w:r w:rsidR="007D7804" w:rsidRPr="00903BCB">
        <w:rPr>
          <w:sz w:val="24"/>
          <w:szCs w:val="24"/>
        </w:rPr>
        <w:t xml:space="preserve"> at the governorate level</w:t>
      </w:r>
      <w:r w:rsidR="00152FC5" w:rsidRPr="00903BCB">
        <w:rPr>
          <w:sz w:val="24"/>
          <w:szCs w:val="24"/>
        </w:rPr>
        <w:t>,</w:t>
      </w:r>
      <w:r w:rsidR="007D7804" w:rsidRPr="00903BCB">
        <w:rPr>
          <w:sz w:val="24"/>
          <w:szCs w:val="24"/>
        </w:rPr>
        <w:t xml:space="preserve"> in addition to </w:t>
      </w:r>
      <w:r w:rsidRPr="00903BCB">
        <w:rPr>
          <w:sz w:val="24"/>
          <w:szCs w:val="24"/>
        </w:rPr>
        <w:t>three</w:t>
      </w:r>
      <w:r w:rsidR="007D7804" w:rsidRPr="00903BCB">
        <w:rPr>
          <w:sz w:val="24"/>
          <w:szCs w:val="24"/>
        </w:rPr>
        <w:t xml:space="preserve"> municipal executive directors. </w:t>
      </w:r>
      <w:r w:rsidR="005B2727" w:rsidRPr="00903BCB">
        <w:rPr>
          <w:sz w:val="24"/>
          <w:szCs w:val="24"/>
        </w:rPr>
        <w:t>All members of t</w:t>
      </w:r>
      <w:r w:rsidR="007D7804" w:rsidRPr="00903BCB">
        <w:rPr>
          <w:sz w:val="24"/>
          <w:szCs w:val="24"/>
        </w:rPr>
        <w:t xml:space="preserve">he </w:t>
      </w:r>
      <w:r w:rsidR="00070DA0" w:rsidRPr="00903BCB">
        <w:rPr>
          <w:bCs/>
          <w:sz w:val="24"/>
          <w:szCs w:val="24"/>
        </w:rPr>
        <w:t>m</w:t>
      </w:r>
      <w:r w:rsidR="007D7804" w:rsidRPr="00903BCB">
        <w:rPr>
          <w:bCs/>
          <w:sz w:val="24"/>
          <w:szCs w:val="24"/>
        </w:rPr>
        <w:t xml:space="preserve">unicipal </w:t>
      </w:r>
      <w:r w:rsidR="00070DA0" w:rsidRPr="00903BCB">
        <w:rPr>
          <w:bCs/>
          <w:sz w:val="24"/>
          <w:szCs w:val="24"/>
        </w:rPr>
        <w:t>c</w:t>
      </w:r>
      <w:r w:rsidR="007D7804" w:rsidRPr="00903BCB">
        <w:rPr>
          <w:bCs/>
          <w:sz w:val="24"/>
          <w:szCs w:val="24"/>
        </w:rPr>
        <w:t>ouncils</w:t>
      </w:r>
      <w:r w:rsidR="007D7804" w:rsidRPr="00903BCB">
        <w:rPr>
          <w:sz w:val="24"/>
          <w:szCs w:val="24"/>
        </w:rPr>
        <w:t xml:space="preserve"> </w:t>
      </w:r>
      <w:r w:rsidR="005B2727" w:rsidRPr="00903BCB">
        <w:rPr>
          <w:sz w:val="24"/>
          <w:szCs w:val="24"/>
        </w:rPr>
        <w:t>are elected (</w:t>
      </w:r>
      <w:r w:rsidR="004066F2" w:rsidRPr="00903BCB">
        <w:rPr>
          <w:sz w:val="24"/>
          <w:szCs w:val="24"/>
        </w:rPr>
        <w:t xml:space="preserve">with a </w:t>
      </w:r>
      <w:r w:rsidR="005B2727" w:rsidRPr="00903BCB">
        <w:rPr>
          <w:sz w:val="24"/>
          <w:szCs w:val="24"/>
        </w:rPr>
        <w:t xml:space="preserve">20% </w:t>
      </w:r>
      <w:r w:rsidR="007D7804" w:rsidRPr="00903BCB">
        <w:rPr>
          <w:sz w:val="24"/>
          <w:szCs w:val="24"/>
        </w:rPr>
        <w:t xml:space="preserve">quota </w:t>
      </w:r>
      <w:r w:rsidR="004066F2" w:rsidRPr="00903BCB">
        <w:rPr>
          <w:sz w:val="24"/>
          <w:szCs w:val="24"/>
        </w:rPr>
        <w:t>of</w:t>
      </w:r>
      <w:r w:rsidR="007D7804" w:rsidRPr="00903BCB">
        <w:rPr>
          <w:sz w:val="24"/>
          <w:szCs w:val="24"/>
        </w:rPr>
        <w:t xml:space="preserve"> women). </w:t>
      </w:r>
    </w:p>
    <w:p w14:paraId="2C4EFCE7" w14:textId="77777777" w:rsidR="006675E9" w:rsidRPr="00903BCB" w:rsidRDefault="006675E9" w:rsidP="00623945">
      <w:pPr>
        <w:spacing w:line="360" w:lineRule="auto"/>
        <w:ind w:left="0" w:right="0"/>
        <w:rPr>
          <w:sz w:val="24"/>
          <w:szCs w:val="24"/>
        </w:rPr>
      </w:pPr>
    </w:p>
    <w:p w14:paraId="2705D969" w14:textId="5D4887E4" w:rsidR="00B95066" w:rsidRPr="00903BCB" w:rsidRDefault="00B95066" w:rsidP="00623945">
      <w:pPr>
        <w:spacing w:line="360" w:lineRule="auto"/>
        <w:ind w:left="0" w:right="0"/>
        <w:rPr>
          <w:sz w:val="24"/>
          <w:szCs w:val="24"/>
        </w:rPr>
      </w:pPr>
      <w:r w:rsidRPr="00903BCB">
        <w:rPr>
          <w:sz w:val="24"/>
          <w:szCs w:val="24"/>
        </w:rPr>
        <w:t xml:space="preserve">In 2011, the Municipal Law (13/2011) introduced two key reforms for decentralization and participation at the local level (MOMA 2011). First, under this new law, the total number of municipal councilors (including Mayors) has to meet a 25% quota of women. Second, this law defines a framework for both the financial autonomy of municipalities, as well as the involvement of the private sector and civil society in local development. </w:t>
      </w:r>
    </w:p>
    <w:p w14:paraId="26725927" w14:textId="77777777" w:rsidR="00911015" w:rsidRPr="00903BCB" w:rsidRDefault="00911015" w:rsidP="00623945">
      <w:pPr>
        <w:spacing w:line="360" w:lineRule="auto"/>
        <w:ind w:left="0" w:right="0"/>
        <w:rPr>
          <w:sz w:val="24"/>
          <w:szCs w:val="24"/>
        </w:rPr>
      </w:pPr>
    </w:p>
    <w:p w14:paraId="66BFA243" w14:textId="5B8482D5" w:rsidR="001350CB" w:rsidRDefault="00C40A0A" w:rsidP="00AB326A">
      <w:pPr>
        <w:spacing w:line="360" w:lineRule="auto"/>
        <w:ind w:left="0" w:right="0"/>
        <w:rPr>
          <w:sz w:val="24"/>
          <w:szCs w:val="24"/>
        </w:rPr>
      </w:pPr>
      <w:r w:rsidRPr="00903BCB">
        <w:rPr>
          <w:sz w:val="24"/>
          <w:szCs w:val="24"/>
        </w:rPr>
        <w:t xml:space="preserve">The </w:t>
      </w:r>
      <w:r w:rsidR="00911015" w:rsidRPr="00903BCB">
        <w:rPr>
          <w:sz w:val="24"/>
          <w:szCs w:val="24"/>
        </w:rPr>
        <w:t>G</w:t>
      </w:r>
      <w:r w:rsidRPr="00903BCB">
        <w:rPr>
          <w:sz w:val="24"/>
          <w:szCs w:val="24"/>
        </w:rPr>
        <w:t xml:space="preserve">overnment of Jordan is </w:t>
      </w:r>
      <w:r w:rsidR="00911015" w:rsidRPr="00903BCB">
        <w:rPr>
          <w:sz w:val="24"/>
          <w:szCs w:val="24"/>
        </w:rPr>
        <w:t xml:space="preserve">currently </w:t>
      </w:r>
      <w:r w:rsidRPr="00903BCB">
        <w:rPr>
          <w:sz w:val="24"/>
          <w:szCs w:val="24"/>
        </w:rPr>
        <w:t xml:space="preserve">developing Governorates Development Strategies (GDS) for </w:t>
      </w:r>
      <w:r w:rsidR="00681844" w:rsidRPr="00903BCB">
        <w:rPr>
          <w:sz w:val="24"/>
          <w:szCs w:val="24"/>
        </w:rPr>
        <w:t xml:space="preserve">each </w:t>
      </w:r>
      <w:r w:rsidR="00911015" w:rsidRPr="00903BCB">
        <w:rPr>
          <w:sz w:val="24"/>
          <w:szCs w:val="24"/>
        </w:rPr>
        <w:t>of the governorates in the country</w:t>
      </w:r>
      <w:r w:rsidRPr="00903BCB">
        <w:rPr>
          <w:sz w:val="24"/>
          <w:szCs w:val="24"/>
        </w:rPr>
        <w:t xml:space="preserve">. The GDS </w:t>
      </w:r>
      <w:r w:rsidR="00681844" w:rsidRPr="00903BCB">
        <w:rPr>
          <w:sz w:val="24"/>
          <w:szCs w:val="24"/>
        </w:rPr>
        <w:t xml:space="preserve">is an action-framework that </w:t>
      </w:r>
      <w:r w:rsidRPr="00903BCB">
        <w:rPr>
          <w:sz w:val="24"/>
          <w:szCs w:val="24"/>
        </w:rPr>
        <w:t>include</w:t>
      </w:r>
      <w:r w:rsidR="00DB4F69" w:rsidRPr="00903BCB">
        <w:rPr>
          <w:sz w:val="24"/>
          <w:szCs w:val="24"/>
        </w:rPr>
        <w:t>s</w:t>
      </w:r>
      <w:r w:rsidRPr="00903BCB">
        <w:rPr>
          <w:sz w:val="24"/>
          <w:szCs w:val="24"/>
        </w:rPr>
        <w:t xml:space="preserve"> all of the priority projects </w:t>
      </w:r>
      <w:r w:rsidR="00152FC5" w:rsidRPr="00903BCB">
        <w:rPr>
          <w:sz w:val="24"/>
          <w:szCs w:val="24"/>
        </w:rPr>
        <w:t>that use</w:t>
      </w:r>
      <w:r w:rsidR="005B4876" w:rsidRPr="00903BCB">
        <w:rPr>
          <w:sz w:val="24"/>
          <w:szCs w:val="24"/>
        </w:rPr>
        <w:t xml:space="preserve"> </w:t>
      </w:r>
      <w:r w:rsidR="005B293E" w:rsidRPr="00903BCB">
        <w:rPr>
          <w:sz w:val="24"/>
          <w:szCs w:val="24"/>
        </w:rPr>
        <w:t>participatory approach</w:t>
      </w:r>
      <w:r w:rsidR="005B4876" w:rsidRPr="00903BCB">
        <w:rPr>
          <w:sz w:val="24"/>
          <w:szCs w:val="24"/>
        </w:rPr>
        <w:t>es</w:t>
      </w:r>
      <w:r w:rsidR="005B293E" w:rsidRPr="00903BCB">
        <w:rPr>
          <w:sz w:val="24"/>
          <w:szCs w:val="24"/>
        </w:rPr>
        <w:t xml:space="preserve"> </w:t>
      </w:r>
      <w:r w:rsidR="00D635A0" w:rsidRPr="00903BCB">
        <w:rPr>
          <w:sz w:val="24"/>
          <w:szCs w:val="24"/>
        </w:rPr>
        <w:t>and</w:t>
      </w:r>
      <w:r w:rsidR="005B4876" w:rsidRPr="00903BCB">
        <w:rPr>
          <w:sz w:val="24"/>
          <w:szCs w:val="24"/>
        </w:rPr>
        <w:t xml:space="preserve"> analyse</w:t>
      </w:r>
      <w:r w:rsidRPr="00903BCB">
        <w:rPr>
          <w:sz w:val="24"/>
          <w:szCs w:val="24"/>
        </w:rPr>
        <w:t>s of the socioeconomic indicators</w:t>
      </w:r>
      <w:r w:rsidR="005B4876" w:rsidRPr="00903BCB">
        <w:rPr>
          <w:sz w:val="24"/>
          <w:szCs w:val="24"/>
        </w:rPr>
        <w:t>,</w:t>
      </w:r>
      <w:r w:rsidR="005B293E" w:rsidRPr="00903BCB">
        <w:rPr>
          <w:sz w:val="24"/>
          <w:szCs w:val="24"/>
        </w:rPr>
        <w:t xml:space="preserve"> services and infrastructure</w:t>
      </w:r>
      <w:r w:rsidR="005B4876" w:rsidRPr="00903BCB">
        <w:rPr>
          <w:sz w:val="24"/>
          <w:szCs w:val="24"/>
        </w:rPr>
        <w:t>s</w:t>
      </w:r>
      <w:r w:rsidR="005B293E" w:rsidRPr="00903BCB">
        <w:rPr>
          <w:sz w:val="24"/>
          <w:szCs w:val="24"/>
        </w:rPr>
        <w:t xml:space="preserve"> </w:t>
      </w:r>
      <w:r w:rsidRPr="00903BCB">
        <w:rPr>
          <w:sz w:val="24"/>
          <w:szCs w:val="24"/>
        </w:rPr>
        <w:t xml:space="preserve">at the governorate level. </w:t>
      </w:r>
      <w:r w:rsidR="00DA0FC1" w:rsidRPr="00903BCB">
        <w:rPr>
          <w:sz w:val="24"/>
          <w:szCs w:val="24"/>
        </w:rPr>
        <w:t>In addition</w:t>
      </w:r>
      <w:r w:rsidR="004066F2" w:rsidRPr="00903BCB">
        <w:rPr>
          <w:sz w:val="24"/>
          <w:szCs w:val="24"/>
        </w:rPr>
        <w:t>,</w:t>
      </w:r>
      <w:r w:rsidR="001350CB" w:rsidRPr="00903BCB">
        <w:rPr>
          <w:sz w:val="24"/>
          <w:szCs w:val="24"/>
        </w:rPr>
        <w:t xml:space="preserve"> dozens of other studies and policy documents have been prepared for the decentralization initiative by the Government</w:t>
      </w:r>
      <w:r w:rsidR="00070DA0" w:rsidRPr="00903BCB">
        <w:rPr>
          <w:sz w:val="24"/>
          <w:szCs w:val="24"/>
        </w:rPr>
        <w:t xml:space="preserve"> of Jordan</w:t>
      </w:r>
      <w:r w:rsidR="001350CB" w:rsidRPr="00903BCB">
        <w:rPr>
          <w:sz w:val="24"/>
          <w:szCs w:val="24"/>
        </w:rPr>
        <w:t>, international agencies</w:t>
      </w:r>
      <w:r w:rsidR="004066F2" w:rsidRPr="00903BCB">
        <w:rPr>
          <w:sz w:val="24"/>
          <w:szCs w:val="24"/>
        </w:rPr>
        <w:t>,</w:t>
      </w:r>
      <w:r w:rsidR="00920BB6" w:rsidRPr="00903BCB">
        <w:rPr>
          <w:sz w:val="24"/>
          <w:szCs w:val="24"/>
        </w:rPr>
        <w:t xml:space="preserve"> </w:t>
      </w:r>
      <w:r w:rsidR="00AE4795" w:rsidRPr="00903BCB">
        <w:rPr>
          <w:sz w:val="24"/>
          <w:szCs w:val="24"/>
        </w:rPr>
        <w:t>and</w:t>
      </w:r>
      <w:r w:rsidR="004066F2" w:rsidRPr="00903BCB">
        <w:rPr>
          <w:sz w:val="24"/>
          <w:szCs w:val="24"/>
        </w:rPr>
        <w:t xml:space="preserve"> </w:t>
      </w:r>
      <w:r w:rsidR="009403B4" w:rsidRPr="00903BCB">
        <w:rPr>
          <w:sz w:val="24"/>
          <w:szCs w:val="24"/>
        </w:rPr>
        <w:t xml:space="preserve">by </w:t>
      </w:r>
      <w:r w:rsidR="001350CB" w:rsidRPr="00903BCB">
        <w:rPr>
          <w:sz w:val="24"/>
          <w:szCs w:val="24"/>
        </w:rPr>
        <w:t>scholars</w:t>
      </w:r>
      <w:r w:rsidR="00AE4795" w:rsidRPr="00903BCB">
        <w:rPr>
          <w:sz w:val="24"/>
          <w:szCs w:val="24"/>
        </w:rPr>
        <w:t>.</w:t>
      </w:r>
      <w:r w:rsidR="009403B4" w:rsidRPr="00903BCB">
        <w:rPr>
          <w:sz w:val="24"/>
          <w:szCs w:val="24"/>
        </w:rPr>
        <w:t xml:space="preserve"> </w:t>
      </w:r>
      <w:r w:rsidR="00AE4795" w:rsidRPr="00903BCB">
        <w:rPr>
          <w:sz w:val="24"/>
          <w:szCs w:val="24"/>
        </w:rPr>
        <w:t xml:space="preserve">Neither the GDS, nor any studies or policy papers, </w:t>
      </w:r>
      <w:r w:rsidR="009403B4" w:rsidRPr="00903BCB">
        <w:rPr>
          <w:sz w:val="24"/>
          <w:szCs w:val="24"/>
        </w:rPr>
        <w:t xml:space="preserve">ever </w:t>
      </w:r>
      <w:r w:rsidR="001350CB" w:rsidRPr="00903BCB">
        <w:rPr>
          <w:sz w:val="24"/>
          <w:szCs w:val="24"/>
        </w:rPr>
        <w:t xml:space="preserve">explicitly </w:t>
      </w:r>
      <w:r w:rsidR="006A2E43" w:rsidRPr="00903BCB">
        <w:rPr>
          <w:sz w:val="24"/>
          <w:szCs w:val="24"/>
        </w:rPr>
        <w:t>formulat</w:t>
      </w:r>
      <w:r w:rsidR="00AE4795" w:rsidRPr="00903BCB">
        <w:rPr>
          <w:sz w:val="24"/>
          <w:szCs w:val="24"/>
        </w:rPr>
        <w:t>e</w:t>
      </w:r>
      <w:r w:rsidR="006A2E43" w:rsidRPr="00903BCB">
        <w:rPr>
          <w:sz w:val="24"/>
          <w:szCs w:val="24"/>
        </w:rPr>
        <w:t xml:space="preserve"> a financial transfer system, let alone </w:t>
      </w:r>
      <w:r w:rsidR="00B75484" w:rsidRPr="00903BCB">
        <w:rPr>
          <w:sz w:val="24"/>
          <w:szCs w:val="24"/>
        </w:rPr>
        <w:t>a</w:t>
      </w:r>
      <w:r w:rsidR="001350CB" w:rsidRPr="00903BCB">
        <w:rPr>
          <w:sz w:val="24"/>
          <w:szCs w:val="24"/>
        </w:rPr>
        <w:t xml:space="preserve"> </w:t>
      </w:r>
      <w:r w:rsidR="006C01F9" w:rsidRPr="00903BCB">
        <w:rPr>
          <w:sz w:val="24"/>
          <w:szCs w:val="24"/>
        </w:rPr>
        <w:t xml:space="preserve">concrete </w:t>
      </w:r>
      <w:r w:rsidR="00B75484" w:rsidRPr="00903BCB">
        <w:rPr>
          <w:sz w:val="24"/>
          <w:szCs w:val="24"/>
        </w:rPr>
        <w:t>formula</w:t>
      </w:r>
      <w:r w:rsidR="006A2E43" w:rsidRPr="00903BCB">
        <w:rPr>
          <w:sz w:val="24"/>
          <w:szCs w:val="24"/>
        </w:rPr>
        <w:t>,</w:t>
      </w:r>
      <w:r w:rsidR="00745326" w:rsidRPr="00903BCB">
        <w:rPr>
          <w:sz w:val="24"/>
          <w:szCs w:val="24"/>
        </w:rPr>
        <w:t xml:space="preserve"> </w:t>
      </w:r>
      <w:r w:rsidR="000148AD" w:rsidRPr="00903BCB">
        <w:rPr>
          <w:sz w:val="24"/>
          <w:szCs w:val="24"/>
        </w:rPr>
        <w:t>for</w:t>
      </w:r>
      <w:r w:rsidR="00745326" w:rsidRPr="00903BCB">
        <w:rPr>
          <w:sz w:val="24"/>
          <w:szCs w:val="24"/>
        </w:rPr>
        <w:t xml:space="preserve"> allocat</w:t>
      </w:r>
      <w:r w:rsidR="000148AD" w:rsidRPr="00903BCB">
        <w:rPr>
          <w:sz w:val="24"/>
          <w:szCs w:val="24"/>
        </w:rPr>
        <w:t>ing</w:t>
      </w:r>
      <w:r w:rsidR="00745326" w:rsidRPr="00903BCB">
        <w:rPr>
          <w:sz w:val="24"/>
          <w:szCs w:val="24"/>
        </w:rPr>
        <w:t xml:space="preserve"> national revenues</w:t>
      </w:r>
      <w:r w:rsidR="00337D46" w:rsidRPr="00903BCB">
        <w:rPr>
          <w:sz w:val="24"/>
          <w:szCs w:val="24"/>
        </w:rPr>
        <w:t xml:space="preserve"> to </w:t>
      </w:r>
      <w:r w:rsidR="006A2E43" w:rsidRPr="00903BCB">
        <w:rPr>
          <w:sz w:val="24"/>
          <w:szCs w:val="24"/>
        </w:rPr>
        <w:t>the g</w:t>
      </w:r>
      <w:r w:rsidR="00337D46" w:rsidRPr="00903BCB">
        <w:rPr>
          <w:sz w:val="24"/>
          <w:szCs w:val="24"/>
        </w:rPr>
        <w:t>overnorate</w:t>
      </w:r>
      <w:r w:rsidR="005B4876" w:rsidRPr="00903BCB">
        <w:rPr>
          <w:sz w:val="24"/>
          <w:szCs w:val="24"/>
        </w:rPr>
        <w:t xml:space="preserve"> </w:t>
      </w:r>
      <w:r w:rsidR="007334EE" w:rsidRPr="00903BCB">
        <w:rPr>
          <w:sz w:val="24"/>
          <w:szCs w:val="24"/>
        </w:rPr>
        <w:t>level</w:t>
      </w:r>
      <w:r w:rsidR="00CF2D9E" w:rsidRPr="00903BCB">
        <w:rPr>
          <w:sz w:val="24"/>
          <w:szCs w:val="24"/>
        </w:rPr>
        <w:t xml:space="preserve"> </w:t>
      </w:r>
      <w:r w:rsidR="00B367FA" w:rsidRPr="00903BCB">
        <w:rPr>
          <w:sz w:val="24"/>
          <w:szCs w:val="24"/>
        </w:rPr>
        <w:t>(</w:t>
      </w:r>
      <w:r w:rsidR="00CF2D9E" w:rsidRPr="00903BCB">
        <w:rPr>
          <w:iCs/>
          <w:sz w:val="24"/>
          <w:szCs w:val="24"/>
        </w:rPr>
        <w:t>UNDP 2009</w:t>
      </w:r>
      <w:r w:rsidR="00487B82" w:rsidRPr="00903BCB">
        <w:rPr>
          <w:iCs/>
          <w:sz w:val="24"/>
          <w:szCs w:val="24"/>
        </w:rPr>
        <w:t>;</w:t>
      </w:r>
      <w:r w:rsidR="00CF2D9E" w:rsidRPr="00903BCB">
        <w:rPr>
          <w:iCs/>
          <w:sz w:val="24"/>
          <w:szCs w:val="24"/>
        </w:rPr>
        <w:t xml:space="preserve"> </w:t>
      </w:r>
      <w:r w:rsidR="00B367FA" w:rsidRPr="00903BCB">
        <w:rPr>
          <w:iCs/>
          <w:sz w:val="24"/>
          <w:szCs w:val="24"/>
        </w:rPr>
        <w:t>LGDK 20</w:t>
      </w:r>
      <w:r w:rsidR="00CF2D9E" w:rsidRPr="00903BCB">
        <w:rPr>
          <w:iCs/>
          <w:sz w:val="24"/>
          <w:szCs w:val="24"/>
        </w:rPr>
        <w:t>08, 2011; MOPIC 2010</w:t>
      </w:r>
      <w:r w:rsidR="00337D46" w:rsidRPr="00903BCB">
        <w:rPr>
          <w:sz w:val="24"/>
          <w:szCs w:val="24"/>
        </w:rPr>
        <w:t>).</w:t>
      </w:r>
    </w:p>
    <w:p w14:paraId="13FB801E" w14:textId="77777777" w:rsidR="00903BCB" w:rsidRPr="00903BCB" w:rsidRDefault="00903BCB" w:rsidP="00AB326A">
      <w:pPr>
        <w:spacing w:line="360" w:lineRule="auto"/>
        <w:ind w:left="0" w:right="0"/>
        <w:rPr>
          <w:sz w:val="24"/>
          <w:szCs w:val="24"/>
        </w:rPr>
      </w:pPr>
    </w:p>
    <w:p w14:paraId="600FDC91" w14:textId="704226B4" w:rsidR="00AE783E" w:rsidRPr="00903BCB" w:rsidRDefault="00D5768A" w:rsidP="00B95066">
      <w:pPr>
        <w:spacing w:line="360" w:lineRule="auto"/>
        <w:ind w:left="0" w:right="0"/>
        <w:rPr>
          <w:sz w:val="24"/>
          <w:szCs w:val="24"/>
          <w:lang w:val="en-GB"/>
        </w:rPr>
      </w:pPr>
      <w:r w:rsidRPr="00903BCB">
        <w:rPr>
          <w:sz w:val="24"/>
          <w:szCs w:val="24"/>
        </w:rPr>
        <w:t xml:space="preserve">Transfers from the national to the municipal levels follow a formula </w:t>
      </w:r>
      <w:r w:rsidR="00A53CE3" w:rsidRPr="00903BCB">
        <w:rPr>
          <w:sz w:val="24"/>
          <w:szCs w:val="24"/>
        </w:rPr>
        <w:t xml:space="preserve">that </w:t>
      </w:r>
      <w:r w:rsidRPr="00903BCB">
        <w:rPr>
          <w:sz w:val="24"/>
          <w:szCs w:val="24"/>
        </w:rPr>
        <w:t>was established in 2005</w:t>
      </w:r>
      <w:r w:rsidR="006645B8" w:rsidRPr="00903BCB">
        <w:rPr>
          <w:sz w:val="24"/>
          <w:szCs w:val="24"/>
        </w:rPr>
        <w:t>,</w:t>
      </w:r>
      <w:r w:rsidRPr="00903BCB">
        <w:rPr>
          <w:sz w:val="24"/>
          <w:szCs w:val="24"/>
        </w:rPr>
        <w:t xml:space="preserve"> </w:t>
      </w:r>
      <w:r w:rsidR="00ED141E" w:rsidRPr="00903BCB">
        <w:rPr>
          <w:sz w:val="24"/>
          <w:szCs w:val="24"/>
        </w:rPr>
        <w:t>which</w:t>
      </w:r>
      <w:r w:rsidRPr="00903BCB">
        <w:rPr>
          <w:sz w:val="24"/>
          <w:szCs w:val="24"/>
        </w:rPr>
        <w:t xml:space="preserve"> is currently being reviewed (MOMA 2010). A</w:t>
      </w:r>
      <w:r w:rsidRPr="00903BCB">
        <w:rPr>
          <w:sz w:val="24"/>
          <w:szCs w:val="24"/>
          <w:lang w:val="en-GB"/>
        </w:rPr>
        <w:t xml:space="preserve">rticle </w:t>
      </w:r>
      <w:r w:rsidR="00B95066" w:rsidRPr="00903BCB">
        <w:rPr>
          <w:sz w:val="24"/>
          <w:szCs w:val="24"/>
          <w:lang w:val="en-GB"/>
        </w:rPr>
        <w:t xml:space="preserve">51 </w:t>
      </w:r>
      <w:r w:rsidRPr="00903BCB">
        <w:rPr>
          <w:sz w:val="24"/>
          <w:szCs w:val="24"/>
          <w:lang w:val="en-GB"/>
        </w:rPr>
        <w:t xml:space="preserve">of Municipal Law </w:t>
      </w:r>
      <w:r w:rsidR="004066F2" w:rsidRPr="00903BCB">
        <w:rPr>
          <w:sz w:val="24"/>
          <w:szCs w:val="24"/>
          <w:lang w:val="en-GB"/>
        </w:rPr>
        <w:t>N</w:t>
      </w:r>
      <w:r w:rsidRPr="00903BCB">
        <w:rPr>
          <w:sz w:val="24"/>
          <w:szCs w:val="24"/>
          <w:lang w:val="en-GB"/>
        </w:rPr>
        <w:t xml:space="preserve">o. </w:t>
      </w:r>
      <w:r w:rsidR="00B95066" w:rsidRPr="00903BCB">
        <w:rPr>
          <w:sz w:val="24"/>
          <w:szCs w:val="24"/>
          <w:lang w:val="en-GB"/>
        </w:rPr>
        <w:t>13</w:t>
      </w:r>
      <w:r w:rsidRPr="00903BCB">
        <w:rPr>
          <w:sz w:val="24"/>
          <w:szCs w:val="24"/>
          <w:lang w:val="en-GB"/>
        </w:rPr>
        <w:t>/</w:t>
      </w:r>
      <w:r w:rsidR="00B95066" w:rsidRPr="00903BCB">
        <w:rPr>
          <w:sz w:val="24"/>
          <w:szCs w:val="24"/>
          <w:lang w:val="en-GB"/>
        </w:rPr>
        <w:t xml:space="preserve">2011 </w:t>
      </w:r>
      <w:r w:rsidRPr="00903BCB">
        <w:rPr>
          <w:sz w:val="24"/>
          <w:szCs w:val="24"/>
          <w:lang w:val="en-GB"/>
        </w:rPr>
        <w:t>specifies general factors that must be considered by the government in distributing national revenues among municipalities</w:t>
      </w:r>
      <w:r w:rsidR="00AB3B4E" w:rsidRPr="00903BCB">
        <w:rPr>
          <w:sz w:val="24"/>
          <w:szCs w:val="24"/>
          <w:lang w:val="en-GB"/>
        </w:rPr>
        <w:t xml:space="preserve"> (MOMA </w:t>
      </w:r>
      <w:r w:rsidR="00233AC1" w:rsidRPr="00903BCB">
        <w:rPr>
          <w:sz w:val="24"/>
          <w:szCs w:val="24"/>
          <w:lang w:val="en-GB"/>
        </w:rPr>
        <w:t>20</w:t>
      </w:r>
      <w:r w:rsidR="00B95066" w:rsidRPr="00903BCB">
        <w:rPr>
          <w:sz w:val="24"/>
          <w:szCs w:val="24"/>
          <w:lang w:val="en-GB"/>
        </w:rPr>
        <w:t>11</w:t>
      </w:r>
      <w:r w:rsidR="00AB3B4E" w:rsidRPr="00903BCB">
        <w:rPr>
          <w:sz w:val="24"/>
          <w:szCs w:val="24"/>
          <w:lang w:val="en-GB"/>
        </w:rPr>
        <w:t>)</w:t>
      </w:r>
      <w:r w:rsidRPr="00903BCB">
        <w:rPr>
          <w:sz w:val="24"/>
          <w:szCs w:val="24"/>
          <w:lang w:val="en-GB"/>
        </w:rPr>
        <w:t>. </w:t>
      </w:r>
      <w:r w:rsidR="00AE783E" w:rsidRPr="00903BCB">
        <w:rPr>
          <w:sz w:val="24"/>
          <w:szCs w:val="24"/>
        </w:rPr>
        <w:t>The formu</w:t>
      </w:r>
      <w:r w:rsidR="00AB3B4E" w:rsidRPr="00903BCB">
        <w:rPr>
          <w:sz w:val="24"/>
          <w:szCs w:val="24"/>
        </w:rPr>
        <w:t xml:space="preserve">la aims to </w:t>
      </w:r>
      <w:r w:rsidR="008E1B8E" w:rsidRPr="00903BCB">
        <w:rPr>
          <w:sz w:val="24"/>
          <w:szCs w:val="24"/>
        </w:rPr>
        <w:t xml:space="preserve">(i) </w:t>
      </w:r>
      <w:r w:rsidR="00AB3B4E" w:rsidRPr="00903BCB">
        <w:rPr>
          <w:sz w:val="24"/>
          <w:szCs w:val="24"/>
        </w:rPr>
        <w:t>achieve e</w:t>
      </w:r>
      <w:r w:rsidR="00AE783E" w:rsidRPr="00903BCB">
        <w:rPr>
          <w:sz w:val="24"/>
          <w:szCs w:val="24"/>
        </w:rPr>
        <w:t>quity in accessing government services</w:t>
      </w:r>
      <w:r w:rsidR="00AB3B4E" w:rsidRPr="00903BCB">
        <w:rPr>
          <w:sz w:val="24"/>
          <w:szCs w:val="24"/>
        </w:rPr>
        <w:t>, (ii)</w:t>
      </w:r>
      <w:r w:rsidR="00AB3B4E" w:rsidRPr="00903BCB">
        <w:rPr>
          <w:sz w:val="24"/>
          <w:szCs w:val="24"/>
          <w:lang w:val="en-GB"/>
        </w:rPr>
        <w:t xml:space="preserve"> </w:t>
      </w:r>
      <w:r w:rsidR="00AB3B4E" w:rsidRPr="00903BCB">
        <w:rPr>
          <w:sz w:val="24"/>
          <w:szCs w:val="24"/>
        </w:rPr>
        <w:t>r</w:t>
      </w:r>
      <w:r w:rsidR="00AE783E" w:rsidRPr="00903BCB">
        <w:rPr>
          <w:sz w:val="24"/>
          <w:szCs w:val="24"/>
        </w:rPr>
        <w:t>educe the financial differences between the various municipalities</w:t>
      </w:r>
      <w:r w:rsidR="004066F2" w:rsidRPr="00903BCB">
        <w:rPr>
          <w:sz w:val="24"/>
          <w:szCs w:val="24"/>
        </w:rPr>
        <w:t>,</w:t>
      </w:r>
      <w:r w:rsidR="00AB3B4E" w:rsidRPr="00903BCB">
        <w:rPr>
          <w:sz w:val="24"/>
          <w:szCs w:val="24"/>
        </w:rPr>
        <w:t xml:space="preserve"> and (iii)</w:t>
      </w:r>
      <w:r w:rsidR="00AB3B4E" w:rsidRPr="00903BCB">
        <w:rPr>
          <w:sz w:val="24"/>
          <w:szCs w:val="24"/>
          <w:lang w:val="en-GB"/>
        </w:rPr>
        <w:t xml:space="preserve"> </w:t>
      </w:r>
      <w:r w:rsidR="00AB3B4E" w:rsidRPr="00903BCB">
        <w:rPr>
          <w:sz w:val="24"/>
          <w:szCs w:val="24"/>
        </w:rPr>
        <w:t>i</w:t>
      </w:r>
      <w:r w:rsidR="00AE783E" w:rsidRPr="00903BCB">
        <w:rPr>
          <w:sz w:val="24"/>
          <w:szCs w:val="24"/>
        </w:rPr>
        <w:t>mprove the performance of municipalities.</w:t>
      </w:r>
      <w:r w:rsidR="00AB3B4E" w:rsidRPr="00903BCB">
        <w:rPr>
          <w:sz w:val="24"/>
          <w:szCs w:val="24"/>
        </w:rPr>
        <w:t xml:space="preserve"> </w:t>
      </w:r>
      <w:r w:rsidR="00AB3B4E" w:rsidRPr="00903BCB">
        <w:rPr>
          <w:sz w:val="24"/>
          <w:szCs w:val="24"/>
          <w:lang w:val="en-GB"/>
        </w:rPr>
        <w:t xml:space="preserve">A similar formula or legal framework for </w:t>
      </w:r>
      <w:r w:rsidR="005B2B5C" w:rsidRPr="00903BCB">
        <w:rPr>
          <w:sz w:val="24"/>
          <w:szCs w:val="24"/>
          <w:lang w:val="en-GB"/>
        </w:rPr>
        <w:t>g</w:t>
      </w:r>
      <w:r w:rsidR="00AB3B4E" w:rsidRPr="00903BCB">
        <w:rPr>
          <w:sz w:val="24"/>
          <w:szCs w:val="24"/>
          <w:lang w:val="en-GB"/>
        </w:rPr>
        <w:t>overnorates does not exist.</w:t>
      </w:r>
    </w:p>
    <w:p w14:paraId="5B8D9618" w14:textId="77777777" w:rsidR="00AE783E" w:rsidRPr="00903BCB" w:rsidRDefault="00AE783E" w:rsidP="00622914">
      <w:pPr>
        <w:spacing w:line="360" w:lineRule="auto"/>
        <w:rPr>
          <w:sz w:val="24"/>
          <w:szCs w:val="24"/>
        </w:rPr>
      </w:pPr>
    </w:p>
    <w:p w14:paraId="61C3F461" w14:textId="55B80EDA" w:rsidR="00AE783E" w:rsidRPr="00903BCB" w:rsidRDefault="000A513A" w:rsidP="003A1207">
      <w:pPr>
        <w:spacing w:line="360" w:lineRule="auto"/>
        <w:ind w:left="0" w:right="0"/>
        <w:rPr>
          <w:sz w:val="24"/>
          <w:szCs w:val="24"/>
        </w:rPr>
      </w:pPr>
      <w:r w:rsidRPr="00903BCB">
        <w:rPr>
          <w:sz w:val="24"/>
          <w:szCs w:val="24"/>
        </w:rPr>
        <w:t xml:space="preserve">The formula </w:t>
      </w:r>
      <w:r w:rsidR="00AB3B4E" w:rsidRPr="00903BCB">
        <w:rPr>
          <w:sz w:val="24"/>
          <w:szCs w:val="24"/>
        </w:rPr>
        <w:t xml:space="preserve">for </w:t>
      </w:r>
      <w:r w:rsidR="005B2B5C" w:rsidRPr="00903BCB">
        <w:rPr>
          <w:sz w:val="24"/>
          <w:szCs w:val="24"/>
        </w:rPr>
        <w:t>m</w:t>
      </w:r>
      <w:r w:rsidR="00AB3B4E" w:rsidRPr="00903BCB">
        <w:rPr>
          <w:sz w:val="24"/>
          <w:szCs w:val="24"/>
        </w:rPr>
        <w:t xml:space="preserve">unicipalities </w:t>
      </w:r>
      <w:r w:rsidR="00AE783E" w:rsidRPr="00903BCB">
        <w:rPr>
          <w:sz w:val="24"/>
          <w:szCs w:val="24"/>
        </w:rPr>
        <w:t xml:space="preserve">includes </w:t>
      </w:r>
      <w:r w:rsidR="004066F2" w:rsidRPr="00903BCB">
        <w:rPr>
          <w:sz w:val="24"/>
          <w:szCs w:val="24"/>
        </w:rPr>
        <w:t>eleven</w:t>
      </w:r>
      <w:r w:rsidR="00AE783E" w:rsidRPr="00903BCB">
        <w:rPr>
          <w:sz w:val="24"/>
          <w:szCs w:val="24"/>
        </w:rPr>
        <w:t xml:space="preserve"> variables</w:t>
      </w:r>
      <w:r w:rsidR="00AB3B4E" w:rsidRPr="00903BCB">
        <w:rPr>
          <w:sz w:val="24"/>
          <w:szCs w:val="24"/>
        </w:rPr>
        <w:t xml:space="preserve"> </w:t>
      </w:r>
      <w:r w:rsidR="00AF0B81" w:rsidRPr="00903BCB">
        <w:rPr>
          <w:sz w:val="24"/>
          <w:szCs w:val="24"/>
        </w:rPr>
        <w:t>(</w:t>
      </w:r>
      <w:r w:rsidR="00AB3B4E" w:rsidRPr="00903BCB">
        <w:rPr>
          <w:sz w:val="24"/>
          <w:szCs w:val="24"/>
        </w:rPr>
        <w:t>formula weights</w:t>
      </w:r>
      <w:r w:rsidR="00AF0B81" w:rsidRPr="00903BCB">
        <w:rPr>
          <w:sz w:val="24"/>
          <w:szCs w:val="24"/>
        </w:rPr>
        <w:t xml:space="preserve"> are shown in parenthesis)</w:t>
      </w:r>
      <w:r w:rsidRPr="00903BCB">
        <w:rPr>
          <w:sz w:val="24"/>
          <w:szCs w:val="24"/>
        </w:rPr>
        <w:t>:</w:t>
      </w:r>
    </w:p>
    <w:p w14:paraId="35830907" w14:textId="0E49FC84" w:rsidR="00AE783E" w:rsidRPr="00903BCB" w:rsidRDefault="00AE783E" w:rsidP="00622914">
      <w:pPr>
        <w:numPr>
          <w:ilvl w:val="0"/>
          <w:numId w:val="28"/>
        </w:numPr>
        <w:spacing w:line="360" w:lineRule="auto"/>
        <w:ind w:right="0"/>
        <w:jc w:val="left"/>
        <w:rPr>
          <w:sz w:val="24"/>
          <w:szCs w:val="24"/>
        </w:rPr>
      </w:pPr>
      <w:r w:rsidRPr="00903BCB">
        <w:rPr>
          <w:sz w:val="24"/>
          <w:szCs w:val="24"/>
        </w:rPr>
        <w:t>Population</w:t>
      </w:r>
      <w:r w:rsidR="006D2986" w:rsidRPr="00903BCB">
        <w:rPr>
          <w:sz w:val="24"/>
          <w:szCs w:val="24"/>
        </w:rPr>
        <w:tab/>
      </w:r>
      <w:r w:rsidR="006D2986" w:rsidRPr="00903BCB">
        <w:rPr>
          <w:sz w:val="24"/>
          <w:szCs w:val="24"/>
        </w:rPr>
        <w:tab/>
      </w:r>
      <w:r w:rsidR="006D2986" w:rsidRPr="00903BCB">
        <w:rPr>
          <w:sz w:val="24"/>
          <w:szCs w:val="24"/>
        </w:rPr>
        <w:tab/>
      </w:r>
      <w:r w:rsidR="006D2986" w:rsidRPr="00903BCB">
        <w:rPr>
          <w:sz w:val="24"/>
          <w:szCs w:val="24"/>
        </w:rPr>
        <w:tab/>
      </w:r>
      <w:r w:rsidR="006D2986" w:rsidRPr="00903BCB">
        <w:rPr>
          <w:sz w:val="24"/>
          <w:szCs w:val="24"/>
        </w:rPr>
        <w:tab/>
      </w:r>
      <w:r w:rsidR="006D2986" w:rsidRPr="00903BCB">
        <w:rPr>
          <w:sz w:val="24"/>
          <w:szCs w:val="24"/>
        </w:rPr>
        <w:tab/>
      </w:r>
      <w:r w:rsidRPr="00903BCB">
        <w:rPr>
          <w:sz w:val="24"/>
          <w:szCs w:val="24"/>
        </w:rPr>
        <w:t xml:space="preserve"> </w:t>
      </w:r>
      <w:r w:rsidRPr="00903BCB">
        <w:rPr>
          <w:sz w:val="24"/>
          <w:szCs w:val="24"/>
        </w:rPr>
        <w:tab/>
        <w:t>(20%)</w:t>
      </w:r>
    </w:p>
    <w:p w14:paraId="7EFE1892" w14:textId="77777777" w:rsidR="00AE783E" w:rsidRPr="00903BCB" w:rsidRDefault="00AE783E" w:rsidP="00622914">
      <w:pPr>
        <w:numPr>
          <w:ilvl w:val="0"/>
          <w:numId w:val="28"/>
        </w:numPr>
        <w:spacing w:line="360" w:lineRule="auto"/>
        <w:ind w:right="0"/>
        <w:jc w:val="left"/>
        <w:rPr>
          <w:sz w:val="24"/>
          <w:szCs w:val="24"/>
        </w:rPr>
      </w:pPr>
      <w:r w:rsidRPr="00903BCB">
        <w:rPr>
          <w:sz w:val="24"/>
          <w:szCs w:val="24"/>
        </w:rPr>
        <w:t xml:space="preserve">Area share </w:t>
      </w:r>
      <w:r w:rsidRPr="00903BCB">
        <w:rPr>
          <w:sz w:val="24"/>
          <w:szCs w:val="24"/>
        </w:rPr>
        <w:tab/>
      </w:r>
      <w:r w:rsidRPr="00903BCB">
        <w:rPr>
          <w:sz w:val="24"/>
          <w:szCs w:val="24"/>
        </w:rPr>
        <w:tab/>
      </w:r>
      <w:r w:rsidRPr="00903BCB">
        <w:rPr>
          <w:sz w:val="24"/>
          <w:szCs w:val="24"/>
        </w:rPr>
        <w:tab/>
      </w:r>
      <w:r w:rsidRPr="00903BCB">
        <w:rPr>
          <w:sz w:val="24"/>
          <w:szCs w:val="24"/>
        </w:rPr>
        <w:tab/>
      </w:r>
      <w:r w:rsidRPr="00903BCB">
        <w:rPr>
          <w:sz w:val="24"/>
          <w:szCs w:val="24"/>
        </w:rPr>
        <w:tab/>
      </w:r>
      <w:r w:rsidRPr="00903BCB">
        <w:rPr>
          <w:sz w:val="24"/>
          <w:szCs w:val="24"/>
        </w:rPr>
        <w:tab/>
      </w:r>
      <w:r w:rsidRPr="00903BCB">
        <w:rPr>
          <w:sz w:val="24"/>
          <w:szCs w:val="24"/>
        </w:rPr>
        <w:tab/>
        <w:t>(10%)</w:t>
      </w:r>
    </w:p>
    <w:p w14:paraId="7501A0BB" w14:textId="77777777" w:rsidR="00AE783E" w:rsidRPr="00903BCB" w:rsidRDefault="00AE783E" w:rsidP="00622914">
      <w:pPr>
        <w:numPr>
          <w:ilvl w:val="0"/>
          <w:numId w:val="28"/>
        </w:numPr>
        <w:spacing w:line="360" w:lineRule="auto"/>
        <w:ind w:right="0"/>
        <w:jc w:val="left"/>
        <w:rPr>
          <w:sz w:val="24"/>
          <w:szCs w:val="24"/>
        </w:rPr>
      </w:pPr>
      <w:r w:rsidRPr="00903BCB">
        <w:rPr>
          <w:sz w:val="24"/>
          <w:szCs w:val="24"/>
        </w:rPr>
        <w:t>Annual expenditure per capita</w:t>
      </w:r>
      <w:r w:rsidRPr="00903BCB">
        <w:rPr>
          <w:sz w:val="24"/>
          <w:szCs w:val="24"/>
        </w:rPr>
        <w:tab/>
      </w:r>
      <w:r w:rsidRPr="00903BCB">
        <w:rPr>
          <w:sz w:val="24"/>
          <w:szCs w:val="24"/>
        </w:rPr>
        <w:tab/>
      </w:r>
      <w:r w:rsidRPr="00903BCB">
        <w:rPr>
          <w:sz w:val="24"/>
          <w:szCs w:val="24"/>
        </w:rPr>
        <w:tab/>
      </w:r>
      <w:r w:rsidRPr="00903BCB">
        <w:rPr>
          <w:sz w:val="24"/>
          <w:szCs w:val="24"/>
        </w:rPr>
        <w:tab/>
        <w:t>(20%)</w:t>
      </w:r>
    </w:p>
    <w:p w14:paraId="5A802456" w14:textId="77777777" w:rsidR="00AE783E" w:rsidRPr="00903BCB" w:rsidRDefault="00AE783E" w:rsidP="00622914">
      <w:pPr>
        <w:numPr>
          <w:ilvl w:val="0"/>
          <w:numId w:val="28"/>
        </w:numPr>
        <w:spacing w:line="360" w:lineRule="auto"/>
        <w:ind w:right="0"/>
        <w:jc w:val="left"/>
        <w:rPr>
          <w:sz w:val="24"/>
          <w:szCs w:val="24"/>
        </w:rPr>
      </w:pPr>
      <w:r w:rsidRPr="00903BCB">
        <w:rPr>
          <w:sz w:val="24"/>
          <w:szCs w:val="24"/>
        </w:rPr>
        <w:t>Rev</w:t>
      </w:r>
      <w:r w:rsidR="00AB3B4E" w:rsidRPr="00903BCB">
        <w:rPr>
          <w:sz w:val="24"/>
          <w:szCs w:val="24"/>
        </w:rPr>
        <w:t>enue collection percentage</w:t>
      </w:r>
      <w:r w:rsidR="00AB3B4E" w:rsidRPr="00903BCB">
        <w:rPr>
          <w:sz w:val="24"/>
          <w:szCs w:val="24"/>
        </w:rPr>
        <w:tab/>
      </w:r>
      <w:r w:rsidR="00AB3B4E" w:rsidRPr="00903BCB">
        <w:rPr>
          <w:sz w:val="24"/>
          <w:szCs w:val="24"/>
        </w:rPr>
        <w:tab/>
      </w:r>
      <w:r w:rsidR="00AB3B4E" w:rsidRPr="00903BCB">
        <w:rPr>
          <w:sz w:val="24"/>
          <w:szCs w:val="24"/>
        </w:rPr>
        <w:tab/>
      </w:r>
      <w:r w:rsidR="00AB3B4E" w:rsidRPr="00903BCB">
        <w:rPr>
          <w:sz w:val="24"/>
          <w:szCs w:val="24"/>
        </w:rPr>
        <w:tab/>
        <w:t>(</w:t>
      </w:r>
      <w:r w:rsidRPr="00903BCB">
        <w:rPr>
          <w:sz w:val="24"/>
          <w:szCs w:val="24"/>
        </w:rPr>
        <w:t>2%)</w:t>
      </w:r>
    </w:p>
    <w:p w14:paraId="00FEE192" w14:textId="476904A8" w:rsidR="00AE783E" w:rsidRPr="00903BCB" w:rsidRDefault="00AE783E" w:rsidP="00622914">
      <w:pPr>
        <w:numPr>
          <w:ilvl w:val="0"/>
          <w:numId w:val="28"/>
        </w:numPr>
        <w:spacing w:line="360" w:lineRule="auto"/>
        <w:ind w:right="0"/>
        <w:jc w:val="left"/>
        <w:rPr>
          <w:sz w:val="24"/>
          <w:szCs w:val="24"/>
        </w:rPr>
      </w:pPr>
      <w:r w:rsidRPr="00903BCB">
        <w:rPr>
          <w:sz w:val="24"/>
          <w:szCs w:val="24"/>
        </w:rPr>
        <w:t>Saving</w:t>
      </w:r>
      <w:r w:rsidR="00E64399" w:rsidRPr="00903BCB">
        <w:rPr>
          <w:sz w:val="24"/>
          <w:szCs w:val="24"/>
        </w:rPr>
        <w:t>s</w:t>
      </w:r>
      <w:r w:rsidRPr="00903BCB">
        <w:rPr>
          <w:sz w:val="24"/>
          <w:szCs w:val="24"/>
        </w:rPr>
        <w:t xml:space="preserve"> or </w:t>
      </w:r>
      <w:r w:rsidR="00E64399" w:rsidRPr="00903BCB">
        <w:rPr>
          <w:sz w:val="24"/>
          <w:szCs w:val="24"/>
        </w:rPr>
        <w:t>d</w:t>
      </w:r>
      <w:r w:rsidRPr="00903BCB">
        <w:rPr>
          <w:sz w:val="24"/>
          <w:szCs w:val="24"/>
        </w:rPr>
        <w:t xml:space="preserve">ebt </w:t>
      </w:r>
      <w:r w:rsidRPr="00903BCB">
        <w:rPr>
          <w:sz w:val="24"/>
          <w:szCs w:val="24"/>
        </w:rPr>
        <w:tab/>
      </w:r>
      <w:r w:rsidRPr="00903BCB">
        <w:rPr>
          <w:sz w:val="24"/>
          <w:szCs w:val="24"/>
        </w:rPr>
        <w:tab/>
      </w:r>
      <w:r w:rsidRPr="00903BCB">
        <w:rPr>
          <w:sz w:val="24"/>
          <w:szCs w:val="24"/>
        </w:rPr>
        <w:tab/>
      </w:r>
      <w:r w:rsidRPr="00903BCB">
        <w:rPr>
          <w:sz w:val="24"/>
          <w:szCs w:val="24"/>
        </w:rPr>
        <w:tab/>
      </w:r>
      <w:r w:rsidRPr="00903BCB">
        <w:rPr>
          <w:sz w:val="24"/>
          <w:szCs w:val="24"/>
        </w:rPr>
        <w:tab/>
      </w:r>
      <w:r w:rsidRPr="00903BCB">
        <w:rPr>
          <w:sz w:val="24"/>
          <w:szCs w:val="24"/>
        </w:rPr>
        <w:tab/>
        <w:t>(15%)</w:t>
      </w:r>
    </w:p>
    <w:p w14:paraId="4D2047D9" w14:textId="77777777" w:rsidR="00AE783E" w:rsidRPr="00903BCB" w:rsidRDefault="00AE783E" w:rsidP="00622914">
      <w:pPr>
        <w:numPr>
          <w:ilvl w:val="0"/>
          <w:numId w:val="28"/>
        </w:numPr>
        <w:spacing w:line="360" w:lineRule="auto"/>
        <w:ind w:right="0"/>
        <w:jc w:val="left"/>
        <w:rPr>
          <w:sz w:val="24"/>
          <w:szCs w:val="24"/>
        </w:rPr>
      </w:pPr>
      <w:r w:rsidRPr="00903BCB">
        <w:rPr>
          <w:sz w:val="24"/>
          <w:szCs w:val="24"/>
        </w:rPr>
        <w:t xml:space="preserve">Income </w:t>
      </w:r>
      <w:r w:rsidR="00AB3B4E" w:rsidRPr="00903BCB">
        <w:rPr>
          <w:sz w:val="24"/>
          <w:szCs w:val="24"/>
        </w:rPr>
        <w:t>growth rate</w:t>
      </w:r>
      <w:r w:rsidR="00AB3B4E" w:rsidRPr="00903BCB">
        <w:rPr>
          <w:sz w:val="24"/>
          <w:szCs w:val="24"/>
        </w:rPr>
        <w:tab/>
      </w:r>
      <w:r w:rsidR="00AB3B4E" w:rsidRPr="00903BCB">
        <w:rPr>
          <w:sz w:val="24"/>
          <w:szCs w:val="24"/>
        </w:rPr>
        <w:tab/>
      </w:r>
      <w:r w:rsidR="00AB3B4E" w:rsidRPr="00903BCB">
        <w:rPr>
          <w:sz w:val="24"/>
          <w:szCs w:val="24"/>
        </w:rPr>
        <w:tab/>
      </w:r>
      <w:r w:rsidR="00AB3B4E" w:rsidRPr="00903BCB">
        <w:rPr>
          <w:sz w:val="24"/>
          <w:szCs w:val="24"/>
        </w:rPr>
        <w:tab/>
      </w:r>
      <w:r w:rsidR="00AB3B4E" w:rsidRPr="00903BCB">
        <w:rPr>
          <w:sz w:val="24"/>
          <w:szCs w:val="24"/>
        </w:rPr>
        <w:tab/>
      </w:r>
      <w:r w:rsidR="00AB3B4E" w:rsidRPr="00903BCB">
        <w:rPr>
          <w:sz w:val="24"/>
          <w:szCs w:val="24"/>
        </w:rPr>
        <w:tab/>
        <w:t>(</w:t>
      </w:r>
      <w:r w:rsidRPr="00903BCB">
        <w:rPr>
          <w:sz w:val="24"/>
          <w:szCs w:val="24"/>
        </w:rPr>
        <w:t>5%)</w:t>
      </w:r>
      <w:r w:rsidRPr="00903BCB">
        <w:rPr>
          <w:sz w:val="24"/>
          <w:szCs w:val="24"/>
        </w:rPr>
        <w:tab/>
      </w:r>
    </w:p>
    <w:p w14:paraId="6A71374F" w14:textId="32AC4A4A" w:rsidR="00AE783E" w:rsidRPr="00903BCB" w:rsidRDefault="00AE783E" w:rsidP="00622914">
      <w:pPr>
        <w:numPr>
          <w:ilvl w:val="0"/>
          <w:numId w:val="28"/>
        </w:numPr>
        <w:spacing w:line="360" w:lineRule="auto"/>
        <w:ind w:right="0"/>
        <w:jc w:val="left"/>
        <w:rPr>
          <w:sz w:val="24"/>
          <w:szCs w:val="24"/>
        </w:rPr>
      </w:pPr>
      <w:r w:rsidRPr="00903BCB">
        <w:rPr>
          <w:sz w:val="24"/>
          <w:szCs w:val="24"/>
        </w:rPr>
        <w:t>Governo</w:t>
      </w:r>
      <w:r w:rsidR="00AB3B4E" w:rsidRPr="00903BCB">
        <w:rPr>
          <w:sz w:val="24"/>
          <w:szCs w:val="24"/>
        </w:rPr>
        <w:t xml:space="preserve">rate </w:t>
      </w:r>
      <w:r w:rsidR="00070DA0" w:rsidRPr="00903BCB">
        <w:rPr>
          <w:sz w:val="24"/>
          <w:szCs w:val="24"/>
        </w:rPr>
        <w:t>a</w:t>
      </w:r>
      <w:r w:rsidR="00AB3B4E" w:rsidRPr="00903BCB">
        <w:rPr>
          <w:sz w:val="24"/>
          <w:szCs w:val="24"/>
        </w:rPr>
        <w:t xml:space="preserve">dministrative </w:t>
      </w:r>
      <w:r w:rsidR="00070DA0" w:rsidRPr="00903BCB">
        <w:rPr>
          <w:sz w:val="24"/>
          <w:szCs w:val="24"/>
        </w:rPr>
        <w:t>c</w:t>
      </w:r>
      <w:r w:rsidR="00AB3B4E" w:rsidRPr="00903BCB">
        <w:rPr>
          <w:sz w:val="24"/>
          <w:szCs w:val="24"/>
        </w:rPr>
        <w:t>enter</w:t>
      </w:r>
      <w:r w:rsidR="00AB3B4E" w:rsidRPr="00903BCB">
        <w:rPr>
          <w:sz w:val="24"/>
          <w:szCs w:val="24"/>
        </w:rPr>
        <w:tab/>
      </w:r>
      <w:r w:rsidR="00AB3B4E" w:rsidRPr="00903BCB">
        <w:rPr>
          <w:sz w:val="24"/>
          <w:szCs w:val="24"/>
        </w:rPr>
        <w:tab/>
      </w:r>
      <w:r w:rsidR="00AB3B4E" w:rsidRPr="00903BCB">
        <w:rPr>
          <w:sz w:val="24"/>
          <w:szCs w:val="24"/>
        </w:rPr>
        <w:tab/>
      </w:r>
      <w:r w:rsidR="00AB3B4E" w:rsidRPr="00903BCB">
        <w:rPr>
          <w:sz w:val="24"/>
          <w:szCs w:val="24"/>
        </w:rPr>
        <w:tab/>
        <w:t>(</w:t>
      </w:r>
      <w:r w:rsidRPr="00903BCB">
        <w:rPr>
          <w:sz w:val="24"/>
          <w:szCs w:val="24"/>
        </w:rPr>
        <w:t>5%)</w:t>
      </w:r>
    </w:p>
    <w:p w14:paraId="1463B116" w14:textId="77777777" w:rsidR="00AE783E" w:rsidRPr="00903BCB" w:rsidRDefault="00AE783E" w:rsidP="00622914">
      <w:pPr>
        <w:numPr>
          <w:ilvl w:val="0"/>
          <w:numId w:val="28"/>
        </w:numPr>
        <w:spacing w:line="360" w:lineRule="auto"/>
        <w:ind w:right="0"/>
        <w:jc w:val="left"/>
        <w:rPr>
          <w:sz w:val="24"/>
          <w:szCs w:val="24"/>
        </w:rPr>
      </w:pPr>
      <w:r w:rsidRPr="00903BCB">
        <w:rPr>
          <w:sz w:val="24"/>
          <w:szCs w:val="24"/>
        </w:rPr>
        <w:t xml:space="preserve">Income shortfall </w:t>
      </w:r>
      <w:r w:rsidRPr="00903BCB">
        <w:rPr>
          <w:sz w:val="24"/>
          <w:szCs w:val="24"/>
        </w:rPr>
        <w:tab/>
      </w:r>
      <w:r w:rsidRPr="00903BCB">
        <w:rPr>
          <w:sz w:val="24"/>
          <w:szCs w:val="24"/>
        </w:rPr>
        <w:tab/>
      </w:r>
      <w:r w:rsidRPr="00903BCB">
        <w:rPr>
          <w:sz w:val="24"/>
          <w:szCs w:val="24"/>
        </w:rPr>
        <w:tab/>
      </w:r>
      <w:r w:rsidRPr="00903BCB">
        <w:rPr>
          <w:sz w:val="24"/>
          <w:szCs w:val="24"/>
        </w:rPr>
        <w:tab/>
      </w:r>
      <w:r w:rsidRPr="00903BCB">
        <w:rPr>
          <w:sz w:val="24"/>
          <w:szCs w:val="24"/>
        </w:rPr>
        <w:tab/>
      </w:r>
      <w:r w:rsidRPr="00903BCB">
        <w:rPr>
          <w:sz w:val="24"/>
          <w:szCs w:val="24"/>
        </w:rPr>
        <w:tab/>
        <w:t>(2.5%)</w:t>
      </w:r>
    </w:p>
    <w:p w14:paraId="4F8D553C" w14:textId="77777777" w:rsidR="00AE783E" w:rsidRPr="00903BCB" w:rsidRDefault="00AE783E" w:rsidP="00622914">
      <w:pPr>
        <w:numPr>
          <w:ilvl w:val="0"/>
          <w:numId w:val="28"/>
        </w:numPr>
        <w:spacing w:line="360" w:lineRule="auto"/>
        <w:ind w:right="0"/>
        <w:jc w:val="left"/>
        <w:rPr>
          <w:sz w:val="24"/>
          <w:szCs w:val="24"/>
        </w:rPr>
      </w:pPr>
      <w:r w:rsidRPr="00903BCB">
        <w:rPr>
          <w:sz w:val="24"/>
          <w:szCs w:val="24"/>
        </w:rPr>
        <w:t>Expenditure shortfall</w:t>
      </w:r>
      <w:r w:rsidRPr="00903BCB">
        <w:rPr>
          <w:sz w:val="24"/>
          <w:szCs w:val="24"/>
        </w:rPr>
        <w:tab/>
      </w:r>
      <w:r w:rsidRPr="00903BCB">
        <w:rPr>
          <w:sz w:val="24"/>
          <w:szCs w:val="24"/>
        </w:rPr>
        <w:tab/>
      </w:r>
      <w:r w:rsidRPr="00903BCB">
        <w:rPr>
          <w:sz w:val="24"/>
          <w:szCs w:val="24"/>
        </w:rPr>
        <w:tab/>
      </w:r>
      <w:r w:rsidRPr="00903BCB">
        <w:rPr>
          <w:sz w:val="24"/>
          <w:szCs w:val="24"/>
        </w:rPr>
        <w:tab/>
      </w:r>
      <w:r w:rsidRPr="00903BCB">
        <w:rPr>
          <w:sz w:val="24"/>
          <w:szCs w:val="24"/>
        </w:rPr>
        <w:tab/>
      </w:r>
      <w:r w:rsidRPr="00903BCB">
        <w:rPr>
          <w:sz w:val="24"/>
          <w:szCs w:val="24"/>
        </w:rPr>
        <w:tab/>
        <w:t>(2.5%)</w:t>
      </w:r>
      <w:r w:rsidRPr="00903BCB">
        <w:rPr>
          <w:sz w:val="24"/>
          <w:szCs w:val="24"/>
        </w:rPr>
        <w:tab/>
      </w:r>
    </w:p>
    <w:p w14:paraId="7C0BBA22" w14:textId="77777777" w:rsidR="00AE783E" w:rsidRPr="00903BCB" w:rsidRDefault="00AE783E" w:rsidP="00622914">
      <w:pPr>
        <w:numPr>
          <w:ilvl w:val="0"/>
          <w:numId w:val="28"/>
        </w:numPr>
        <w:spacing w:line="360" w:lineRule="auto"/>
        <w:ind w:right="0"/>
        <w:jc w:val="left"/>
        <w:rPr>
          <w:sz w:val="24"/>
          <w:szCs w:val="24"/>
        </w:rPr>
      </w:pPr>
      <w:r w:rsidRPr="00903BCB">
        <w:rPr>
          <w:sz w:val="24"/>
          <w:szCs w:val="24"/>
        </w:rPr>
        <w:t>Number of regions</w:t>
      </w:r>
      <w:r w:rsidRPr="00903BCB">
        <w:rPr>
          <w:sz w:val="24"/>
          <w:szCs w:val="24"/>
        </w:rPr>
        <w:tab/>
      </w:r>
      <w:r w:rsidRPr="00903BCB">
        <w:rPr>
          <w:sz w:val="24"/>
          <w:szCs w:val="24"/>
        </w:rPr>
        <w:tab/>
      </w:r>
      <w:r w:rsidRPr="00903BCB">
        <w:rPr>
          <w:sz w:val="24"/>
          <w:szCs w:val="24"/>
        </w:rPr>
        <w:tab/>
      </w:r>
      <w:r w:rsidRPr="00903BCB">
        <w:rPr>
          <w:sz w:val="24"/>
          <w:szCs w:val="24"/>
        </w:rPr>
        <w:tab/>
      </w:r>
      <w:r w:rsidRPr="00903BCB">
        <w:rPr>
          <w:sz w:val="24"/>
          <w:szCs w:val="24"/>
        </w:rPr>
        <w:tab/>
      </w:r>
      <w:r w:rsidRPr="00903BCB">
        <w:rPr>
          <w:sz w:val="24"/>
          <w:szCs w:val="24"/>
        </w:rPr>
        <w:tab/>
        <w:t>(15%)</w:t>
      </w:r>
    </w:p>
    <w:p w14:paraId="68F0944C" w14:textId="77777777" w:rsidR="00AE783E" w:rsidRPr="00903BCB" w:rsidRDefault="00AE783E" w:rsidP="00622914">
      <w:pPr>
        <w:numPr>
          <w:ilvl w:val="0"/>
          <w:numId w:val="28"/>
        </w:numPr>
        <w:spacing w:line="360" w:lineRule="auto"/>
        <w:ind w:right="0"/>
        <w:jc w:val="left"/>
        <w:rPr>
          <w:sz w:val="24"/>
          <w:szCs w:val="24"/>
        </w:rPr>
      </w:pPr>
      <w:r w:rsidRPr="00903BCB">
        <w:rPr>
          <w:sz w:val="24"/>
          <w:szCs w:val="24"/>
        </w:rPr>
        <w:t>Deviat</w:t>
      </w:r>
      <w:r w:rsidR="00AB3B4E" w:rsidRPr="00903BCB">
        <w:rPr>
          <w:sz w:val="24"/>
          <w:szCs w:val="24"/>
        </w:rPr>
        <w:t>ion of capital expenditure</w:t>
      </w:r>
      <w:r w:rsidR="00AB3B4E" w:rsidRPr="00903BCB">
        <w:rPr>
          <w:sz w:val="24"/>
          <w:szCs w:val="24"/>
        </w:rPr>
        <w:tab/>
      </w:r>
      <w:r w:rsidR="00AB3B4E" w:rsidRPr="00903BCB">
        <w:rPr>
          <w:sz w:val="24"/>
          <w:szCs w:val="24"/>
        </w:rPr>
        <w:tab/>
      </w:r>
      <w:r w:rsidR="00AB3B4E" w:rsidRPr="00903BCB">
        <w:rPr>
          <w:sz w:val="24"/>
          <w:szCs w:val="24"/>
        </w:rPr>
        <w:tab/>
      </w:r>
      <w:r w:rsidR="00AB3B4E" w:rsidRPr="00903BCB">
        <w:rPr>
          <w:sz w:val="24"/>
          <w:szCs w:val="24"/>
        </w:rPr>
        <w:tab/>
        <w:t>(</w:t>
      </w:r>
      <w:r w:rsidRPr="00903BCB">
        <w:rPr>
          <w:sz w:val="24"/>
          <w:szCs w:val="24"/>
        </w:rPr>
        <w:t>3%)</w:t>
      </w:r>
      <w:r w:rsidRPr="00903BCB">
        <w:rPr>
          <w:sz w:val="24"/>
          <w:szCs w:val="24"/>
        </w:rPr>
        <w:tab/>
      </w:r>
    </w:p>
    <w:p w14:paraId="707621D1" w14:textId="77777777" w:rsidR="00020B28" w:rsidRPr="00903BCB" w:rsidRDefault="00020B28" w:rsidP="00622914">
      <w:pPr>
        <w:spacing w:line="360" w:lineRule="auto"/>
        <w:ind w:left="0" w:right="0"/>
        <w:rPr>
          <w:sz w:val="24"/>
          <w:szCs w:val="24"/>
          <w:lang w:val="en-GB"/>
        </w:rPr>
      </w:pPr>
    </w:p>
    <w:p w14:paraId="003C8102" w14:textId="059C01D8" w:rsidR="003A1207" w:rsidRPr="00903BCB" w:rsidRDefault="007202B6" w:rsidP="00622914">
      <w:pPr>
        <w:spacing w:line="360" w:lineRule="auto"/>
        <w:ind w:left="0" w:right="0"/>
        <w:rPr>
          <w:sz w:val="24"/>
          <w:szCs w:val="24"/>
          <w:lang w:val="en-GB"/>
        </w:rPr>
      </w:pPr>
      <w:r w:rsidRPr="00903BCB">
        <w:rPr>
          <w:sz w:val="24"/>
          <w:szCs w:val="24"/>
          <w:lang w:val="en-GB"/>
        </w:rPr>
        <w:t>Table</w:t>
      </w:r>
      <w:r w:rsidR="00824AD7" w:rsidRPr="00903BCB">
        <w:rPr>
          <w:sz w:val="24"/>
          <w:szCs w:val="24"/>
          <w:lang w:val="en-GB"/>
        </w:rPr>
        <w:t xml:space="preserve"> 1 </w:t>
      </w:r>
      <w:r w:rsidRPr="00903BCB">
        <w:rPr>
          <w:sz w:val="24"/>
          <w:szCs w:val="24"/>
          <w:lang w:val="en-GB"/>
        </w:rPr>
        <w:t xml:space="preserve">shows the evolution of </w:t>
      </w:r>
      <w:r w:rsidR="008E1B8E" w:rsidRPr="00903BCB">
        <w:rPr>
          <w:sz w:val="24"/>
          <w:szCs w:val="24"/>
          <w:lang w:val="en-GB"/>
        </w:rPr>
        <w:t>transfer amounts</w:t>
      </w:r>
      <w:r w:rsidRPr="00903BCB">
        <w:rPr>
          <w:sz w:val="24"/>
          <w:szCs w:val="24"/>
          <w:lang w:val="en-GB"/>
        </w:rPr>
        <w:t xml:space="preserve"> </w:t>
      </w:r>
      <w:r w:rsidR="00210107" w:rsidRPr="00903BCB">
        <w:rPr>
          <w:sz w:val="24"/>
          <w:szCs w:val="24"/>
          <w:lang w:val="en-GB"/>
        </w:rPr>
        <w:t>between</w:t>
      </w:r>
      <w:r w:rsidRPr="00903BCB">
        <w:rPr>
          <w:sz w:val="24"/>
          <w:szCs w:val="24"/>
          <w:lang w:val="en-GB"/>
        </w:rPr>
        <w:t xml:space="preserve"> 2002</w:t>
      </w:r>
      <w:r w:rsidR="00210107" w:rsidRPr="00903BCB">
        <w:rPr>
          <w:sz w:val="24"/>
          <w:szCs w:val="24"/>
          <w:lang w:val="en-GB"/>
        </w:rPr>
        <w:t xml:space="preserve"> and 2009</w:t>
      </w:r>
      <w:r w:rsidR="000A5E8F" w:rsidRPr="00903BCB">
        <w:rPr>
          <w:sz w:val="24"/>
          <w:szCs w:val="24"/>
          <w:lang w:val="en-GB"/>
        </w:rPr>
        <w:t xml:space="preserve">. </w:t>
      </w:r>
      <w:r w:rsidR="008E1B8E" w:rsidRPr="00903BCB">
        <w:rPr>
          <w:sz w:val="24"/>
          <w:szCs w:val="24"/>
          <w:lang w:val="en-GB"/>
        </w:rPr>
        <w:t>During</w:t>
      </w:r>
      <w:r w:rsidR="000A5E8F" w:rsidRPr="00903BCB">
        <w:rPr>
          <w:sz w:val="24"/>
          <w:szCs w:val="24"/>
          <w:lang w:val="en-GB"/>
        </w:rPr>
        <w:t xml:space="preserve"> this period</w:t>
      </w:r>
      <w:r w:rsidR="00E64399" w:rsidRPr="00903BCB">
        <w:rPr>
          <w:sz w:val="24"/>
          <w:szCs w:val="24"/>
          <w:lang w:val="en-GB"/>
        </w:rPr>
        <w:t>,</w:t>
      </w:r>
      <w:r w:rsidR="000A5E8F" w:rsidRPr="00903BCB">
        <w:rPr>
          <w:sz w:val="24"/>
          <w:szCs w:val="24"/>
          <w:lang w:val="en-GB"/>
        </w:rPr>
        <w:t xml:space="preserve"> the total transferred from the central government to </w:t>
      </w:r>
      <w:r w:rsidR="00E64399" w:rsidRPr="00903BCB">
        <w:rPr>
          <w:sz w:val="24"/>
          <w:szCs w:val="24"/>
          <w:lang w:val="en-GB"/>
        </w:rPr>
        <w:t>m</w:t>
      </w:r>
      <w:r w:rsidR="000A5E8F" w:rsidRPr="00903BCB">
        <w:rPr>
          <w:sz w:val="24"/>
          <w:szCs w:val="24"/>
          <w:lang w:val="en-GB"/>
        </w:rPr>
        <w:t>unicipali</w:t>
      </w:r>
      <w:r w:rsidR="00C350D0" w:rsidRPr="00903BCB">
        <w:rPr>
          <w:sz w:val="24"/>
          <w:szCs w:val="24"/>
          <w:lang w:val="en-GB"/>
        </w:rPr>
        <w:t xml:space="preserve">ties </w:t>
      </w:r>
      <w:r w:rsidR="008E1B8E" w:rsidRPr="00903BCB">
        <w:rPr>
          <w:sz w:val="24"/>
          <w:szCs w:val="24"/>
          <w:lang w:val="en-GB"/>
        </w:rPr>
        <w:t>was between</w:t>
      </w:r>
      <w:r w:rsidR="00C350D0" w:rsidRPr="00903BCB">
        <w:rPr>
          <w:sz w:val="24"/>
          <w:szCs w:val="24"/>
          <w:lang w:val="en-GB"/>
        </w:rPr>
        <w:t xml:space="preserve"> 0.5%-</w:t>
      </w:r>
      <w:r w:rsidR="000A5E8F" w:rsidRPr="00903BCB">
        <w:rPr>
          <w:sz w:val="24"/>
          <w:szCs w:val="24"/>
          <w:lang w:val="en-GB"/>
        </w:rPr>
        <w:t xml:space="preserve">0.66% of </w:t>
      </w:r>
      <w:r w:rsidR="003A1207" w:rsidRPr="00903BCB">
        <w:rPr>
          <w:sz w:val="24"/>
          <w:szCs w:val="24"/>
          <w:lang w:val="en-GB"/>
        </w:rPr>
        <w:t xml:space="preserve">the </w:t>
      </w:r>
      <w:r w:rsidR="000A5E8F" w:rsidRPr="00903BCB">
        <w:rPr>
          <w:sz w:val="24"/>
          <w:szCs w:val="24"/>
          <w:lang w:val="en-GB"/>
        </w:rPr>
        <w:t>GDP</w:t>
      </w:r>
      <w:r w:rsidR="008E1B8E" w:rsidRPr="00903BCB">
        <w:rPr>
          <w:sz w:val="24"/>
          <w:szCs w:val="24"/>
          <w:lang w:val="en-GB"/>
        </w:rPr>
        <w:t>.</w:t>
      </w:r>
    </w:p>
    <w:p w14:paraId="3FD96FF1" w14:textId="77777777" w:rsidR="00FF359A" w:rsidRPr="00903BCB" w:rsidRDefault="00FF359A" w:rsidP="00622914">
      <w:pPr>
        <w:spacing w:line="360" w:lineRule="auto"/>
        <w:ind w:left="0" w:right="0"/>
        <w:rPr>
          <w:sz w:val="24"/>
          <w:szCs w:val="24"/>
          <w:lang w:val="en-GB"/>
        </w:rPr>
      </w:pPr>
    </w:p>
    <w:p w14:paraId="60333242" w14:textId="39B1CB65" w:rsidR="002E1F1F" w:rsidRPr="00903BCB" w:rsidRDefault="002E1F1F" w:rsidP="00B03AD5">
      <w:pPr>
        <w:spacing w:line="360" w:lineRule="auto"/>
        <w:ind w:left="90" w:right="0"/>
        <w:rPr>
          <w:sz w:val="24"/>
          <w:szCs w:val="24"/>
          <w:lang w:val="en-GB"/>
        </w:rPr>
      </w:pPr>
      <w:r w:rsidRPr="00903BCB">
        <w:rPr>
          <w:sz w:val="24"/>
          <w:szCs w:val="24"/>
          <w:lang w:val="en-GB"/>
        </w:rPr>
        <w:t>Table</w:t>
      </w:r>
      <w:r w:rsidR="00824AD7" w:rsidRPr="00903BCB">
        <w:rPr>
          <w:sz w:val="24"/>
          <w:szCs w:val="24"/>
          <w:lang w:val="en-GB"/>
        </w:rPr>
        <w:t xml:space="preserve"> 1:</w:t>
      </w:r>
      <w:r w:rsidR="00922FFA" w:rsidRPr="00903BCB">
        <w:rPr>
          <w:sz w:val="24"/>
          <w:szCs w:val="24"/>
          <w:lang w:val="en-GB"/>
        </w:rPr>
        <w:t xml:space="preserve"> </w:t>
      </w:r>
      <w:r w:rsidR="00D1591D" w:rsidRPr="00903BCB">
        <w:rPr>
          <w:sz w:val="24"/>
          <w:szCs w:val="24"/>
          <w:lang w:val="en-GB"/>
        </w:rPr>
        <w:t xml:space="preserve">Transfers </w:t>
      </w:r>
      <w:r w:rsidR="00922FFA" w:rsidRPr="00903BCB">
        <w:rPr>
          <w:sz w:val="24"/>
          <w:szCs w:val="24"/>
          <w:lang w:val="en-GB"/>
        </w:rPr>
        <w:t xml:space="preserve">from the </w:t>
      </w:r>
      <w:r w:rsidR="00210107" w:rsidRPr="00903BCB">
        <w:rPr>
          <w:sz w:val="24"/>
          <w:szCs w:val="24"/>
          <w:lang w:val="en-GB"/>
        </w:rPr>
        <w:t>c</w:t>
      </w:r>
      <w:r w:rsidR="00922FFA" w:rsidRPr="00903BCB">
        <w:rPr>
          <w:sz w:val="24"/>
          <w:szCs w:val="24"/>
          <w:lang w:val="en-GB"/>
        </w:rPr>
        <w:t xml:space="preserve">entral </w:t>
      </w:r>
      <w:r w:rsidR="00210107" w:rsidRPr="00903BCB">
        <w:rPr>
          <w:sz w:val="24"/>
          <w:szCs w:val="24"/>
          <w:lang w:val="en-GB"/>
        </w:rPr>
        <w:t>g</w:t>
      </w:r>
      <w:r w:rsidR="00922FFA" w:rsidRPr="00903BCB">
        <w:rPr>
          <w:sz w:val="24"/>
          <w:szCs w:val="24"/>
          <w:lang w:val="en-GB"/>
        </w:rPr>
        <w:t xml:space="preserve">overnment </w:t>
      </w:r>
      <w:r w:rsidR="00D1591D" w:rsidRPr="00903BCB">
        <w:rPr>
          <w:sz w:val="24"/>
          <w:szCs w:val="24"/>
          <w:lang w:val="en-GB"/>
        </w:rPr>
        <w:t xml:space="preserve">to </w:t>
      </w:r>
      <w:r w:rsidR="00210107" w:rsidRPr="00903BCB">
        <w:rPr>
          <w:sz w:val="24"/>
          <w:szCs w:val="24"/>
          <w:lang w:val="en-GB"/>
        </w:rPr>
        <w:t>m</w:t>
      </w:r>
      <w:r w:rsidR="00D1591D" w:rsidRPr="00903BCB">
        <w:rPr>
          <w:sz w:val="24"/>
          <w:szCs w:val="24"/>
          <w:lang w:val="en-GB"/>
        </w:rPr>
        <w:t>unicipalities</w:t>
      </w:r>
      <w:r w:rsidR="00DC2E1C" w:rsidRPr="00903BCB">
        <w:rPr>
          <w:rStyle w:val="FootnoteReference"/>
          <w:sz w:val="24"/>
          <w:szCs w:val="24"/>
          <w:lang w:val="en-GB"/>
        </w:rPr>
        <w:footnoteReference w:id="3"/>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40"/>
        <w:gridCol w:w="940"/>
        <w:gridCol w:w="940"/>
        <w:gridCol w:w="940"/>
        <w:gridCol w:w="940"/>
        <w:gridCol w:w="940"/>
        <w:gridCol w:w="940"/>
        <w:gridCol w:w="1054"/>
      </w:tblGrid>
      <w:tr w:rsidR="00E732A1" w:rsidRPr="00903BCB" w14:paraId="50EEDA43" w14:textId="77777777" w:rsidTr="00E732A1">
        <w:trPr>
          <w:jc w:val="right"/>
        </w:trPr>
        <w:tc>
          <w:tcPr>
            <w:tcW w:w="1728" w:type="dxa"/>
            <w:shd w:val="clear" w:color="auto" w:fill="auto"/>
          </w:tcPr>
          <w:p w14:paraId="271BE5A5" w14:textId="77777777" w:rsidR="00E732A1" w:rsidRPr="00903BCB" w:rsidRDefault="00E732A1" w:rsidP="00E732A1">
            <w:pPr>
              <w:ind w:left="0" w:right="0"/>
              <w:rPr>
                <w:sz w:val="24"/>
                <w:szCs w:val="24"/>
                <w:lang w:val="en-GB"/>
              </w:rPr>
            </w:pPr>
          </w:p>
        </w:tc>
        <w:tc>
          <w:tcPr>
            <w:tcW w:w="940" w:type="dxa"/>
            <w:shd w:val="clear" w:color="auto" w:fill="auto"/>
          </w:tcPr>
          <w:p w14:paraId="7445B258" w14:textId="77777777" w:rsidR="00E732A1" w:rsidRPr="00903BCB" w:rsidRDefault="00E732A1" w:rsidP="00E732A1">
            <w:pPr>
              <w:ind w:left="0" w:right="0"/>
              <w:jc w:val="right"/>
              <w:rPr>
                <w:sz w:val="24"/>
                <w:szCs w:val="24"/>
                <w:lang w:val="en-GB"/>
              </w:rPr>
            </w:pPr>
            <w:r w:rsidRPr="00903BCB">
              <w:rPr>
                <w:sz w:val="24"/>
                <w:szCs w:val="24"/>
                <w:rtl/>
                <w:lang w:val="en-GB"/>
              </w:rPr>
              <w:t>2002</w:t>
            </w:r>
          </w:p>
        </w:tc>
        <w:tc>
          <w:tcPr>
            <w:tcW w:w="940" w:type="dxa"/>
            <w:shd w:val="clear" w:color="auto" w:fill="auto"/>
          </w:tcPr>
          <w:p w14:paraId="30D7DE25" w14:textId="77777777" w:rsidR="00E732A1" w:rsidRPr="00903BCB" w:rsidRDefault="00E732A1" w:rsidP="00E732A1">
            <w:pPr>
              <w:ind w:left="0" w:right="0"/>
              <w:jc w:val="right"/>
              <w:rPr>
                <w:sz w:val="24"/>
                <w:szCs w:val="24"/>
                <w:lang w:val="en-GB"/>
              </w:rPr>
            </w:pPr>
            <w:r w:rsidRPr="00903BCB">
              <w:rPr>
                <w:sz w:val="24"/>
                <w:szCs w:val="24"/>
                <w:rtl/>
                <w:lang w:val="en-GB"/>
              </w:rPr>
              <w:t>2003</w:t>
            </w:r>
          </w:p>
        </w:tc>
        <w:tc>
          <w:tcPr>
            <w:tcW w:w="940" w:type="dxa"/>
            <w:shd w:val="clear" w:color="auto" w:fill="auto"/>
          </w:tcPr>
          <w:p w14:paraId="6471F4CD" w14:textId="77777777" w:rsidR="00E732A1" w:rsidRPr="00903BCB" w:rsidRDefault="00E732A1" w:rsidP="00E732A1">
            <w:pPr>
              <w:ind w:left="0" w:right="0"/>
              <w:jc w:val="right"/>
              <w:rPr>
                <w:sz w:val="24"/>
                <w:szCs w:val="24"/>
                <w:lang w:val="en-GB"/>
              </w:rPr>
            </w:pPr>
            <w:r w:rsidRPr="00903BCB">
              <w:rPr>
                <w:sz w:val="24"/>
                <w:szCs w:val="24"/>
                <w:rtl/>
                <w:lang w:val="en-GB"/>
              </w:rPr>
              <w:t>2004</w:t>
            </w:r>
          </w:p>
        </w:tc>
        <w:tc>
          <w:tcPr>
            <w:tcW w:w="940" w:type="dxa"/>
            <w:shd w:val="clear" w:color="auto" w:fill="auto"/>
          </w:tcPr>
          <w:p w14:paraId="02C941A1" w14:textId="77777777" w:rsidR="00E732A1" w:rsidRPr="00903BCB" w:rsidRDefault="00E732A1" w:rsidP="00E732A1">
            <w:pPr>
              <w:ind w:left="0" w:right="0"/>
              <w:jc w:val="right"/>
              <w:rPr>
                <w:sz w:val="24"/>
                <w:szCs w:val="24"/>
                <w:lang w:val="en-GB"/>
              </w:rPr>
            </w:pPr>
            <w:r w:rsidRPr="00903BCB">
              <w:rPr>
                <w:sz w:val="24"/>
                <w:szCs w:val="24"/>
                <w:rtl/>
                <w:lang w:val="en-GB"/>
              </w:rPr>
              <w:t>2005</w:t>
            </w:r>
          </w:p>
        </w:tc>
        <w:tc>
          <w:tcPr>
            <w:tcW w:w="940" w:type="dxa"/>
            <w:shd w:val="clear" w:color="auto" w:fill="auto"/>
          </w:tcPr>
          <w:p w14:paraId="7DE77934" w14:textId="77777777" w:rsidR="00E732A1" w:rsidRPr="00903BCB" w:rsidRDefault="00E732A1" w:rsidP="00E732A1">
            <w:pPr>
              <w:ind w:left="0" w:right="0"/>
              <w:jc w:val="right"/>
              <w:rPr>
                <w:sz w:val="24"/>
                <w:szCs w:val="24"/>
                <w:lang w:val="en-GB"/>
              </w:rPr>
            </w:pPr>
            <w:r w:rsidRPr="00903BCB">
              <w:rPr>
                <w:sz w:val="24"/>
                <w:szCs w:val="24"/>
                <w:rtl/>
                <w:lang w:val="en-GB"/>
              </w:rPr>
              <w:t>2006</w:t>
            </w:r>
          </w:p>
        </w:tc>
        <w:tc>
          <w:tcPr>
            <w:tcW w:w="940" w:type="dxa"/>
            <w:shd w:val="clear" w:color="auto" w:fill="auto"/>
          </w:tcPr>
          <w:p w14:paraId="3421B72E" w14:textId="77777777" w:rsidR="00E732A1" w:rsidRPr="00903BCB" w:rsidRDefault="00E732A1" w:rsidP="00E732A1">
            <w:pPr>
              <w:ind w:left="0" w:right="0"/>
              <w:jc w:val="right"/>
              <w:rPr>
                <w:sz w:val="24"/>
                <w:szCs w:val="24"/>
                <w:lang w:val="en-GB"/>
              </w:rPr>
            </w:pPr>
            <w:r w:rsidRPr="00903BCB">
              <w:rPr>
                <w:sz w:val="24"/>
                <w:szCs w:val="24"/>
                <w:rtl/>
                <w:lang w:val="en-GB"/>
              </w:rPr>
              <w:t>2007</w:t>
            </w:r>
          </w:p>
        </w:tc>
        <w:tc>
          <w:tcPr>
            <w:tcW w:w="940" w:type="dxa"/>
            <w:shd w:val="clear" w:color="auto" w:fill="auto"/>
          </w:tcPr>
          <w:p w14:paraId="0C7D30DD" w14:textId="77777777" w:rsidR="00E732A1" w:rsidRPr="00903BCB" w:rsidRDefault="00E732A1" w:rsidP="00E732A1">
            <w:pPr>
              <w:ind w:left="0" w:right="0"/>
              <w:jc w:val="right"/>
              <w:rPr>
                <w:sz w:val="24"/>
                <w:szCs w:val="24"/>
                <w:lang w:val="en-GB"/>
              </w:rPr>
            </w:pPr>
            <w:r w:rsidRPr="00903BCB">
              <w:rPr>
                <w:sz w:val="24"/>
                <w:szCs w:val="24"/>
                <w:rtl/>
                <w:lang w:val="en-GB"/>
              </w:rPr>
              <w:t>2008</w:t>
            </w:r>
          </w:p>
        </w:tc>
        <w:tc>
          <w:tcPr>
            <w:tcW w:w="1054" w:type="dxa"/>
            <w:shd w:val="clear" w:color="auto" w:fill="auto"/>
          </w:tcPr>
          <w:p w14:paraId="39C836E6" w14:textId="77777777" w:rsidR="00E732A1" w:rsidRPr="00903BCB" w:rsidRDefault="00E732A1" w:rsidP="00E732A1">
            <w:pPr>
              <w:ind w:left="0" w:right="0"/>
              <w:jc w:val="right"/>
              <w:rPr>
                <w:sz w:val="24"/>
                <w:szCs w:val="24"/>
                <w:lang w:val="en-GB"/>
              </w:rPr>
            </w:pPr>
            <w:r w:rsidRPr="00903BCB">
              <w:rPr>
                <w:sz w:val="24"/>
                <w:szCs w:val="24"/>
                <w:rtl/>
                <w:lang w:val="en-GB"/>
              </w:rPr>
              <w:t>2009</w:t>
            </w:r>
          </w:p>
        </w:tc>
      </w:tr>
      <w:tr w:rsidR="00E732A1" w:rsidRPr="00903BCB" w14:paraId="679CB957" w14:textId="77777777" w:rsidTr="00E732A1">
        <w:trPr>
          <w:jc w:val="right"/>
        </w:trPr>
        <w:tc>
          <w:tcPr>
            <w:tcW w:w="1728" w:type="dxa"/>
            <w:shd w:val="clear" w:color="auto" w:fill="auto"/>
          </w:tcPr>
          <w:p w14:paraId="76382BD5" w14:textId="77777777" w:rsidR="00E732A1" w:rsidRPr="00903BCB" w:rsidRDefault="00E732A1" w:rsidP="00E732A1">
            <w:pPr>
              <w:tabs>
                <w:tab w:val="left" w:pos="182"/>
                <w:tab w:val="center" w:pos="863"/>
              </w:tabs>
              <w:ind w:left="90"/>
              <w:rPr>
                <w:sz w:val="24"/>
                <w:szCs w:val="24"/>
              </w:rPr>
            </w:pPr>
            <w:r w:rsidRPr="00903BCB">
              <w:rPr>
                <w:sz w:val="24"/>
                <w:szCs w:val="24"/>
              </w:rPr>
              <w:t>Total Transfers</w:t>
            </w:r>
          </w:p>
          <w:p w14:paraId="63F66F01" w14:textId="77777777" w:rsidR="00E732A1" w:rsidRPr="00903BCB" w:rsidRDefault="00E732A1" w:rsidP="00E732A1">
            <w:pPr>
              <w:tabs>
                <w:tab w:val="left" w:pos="182"/>
                <w:tab w:val="center" w:pos="863"/>
              </w:tabs>
              <w:ind w:left="0"/>
              <w:jc w:val="left"/>
              <w:rPr>
                <w:sz w:val="24"/>
                <w:szCs w:val="24"/>
              </w:rPr>
            </w:pPr>
            <w:r w:rsidRPr="00903BCB">
              <w:rPr>
                <w:sz w:val="24"/>
                <w:szCs w:val="24"/>
              </w:rPr>
              <w:t>(thousands of JD)</w:t>
            </w:r>
          </w:p>
        </w:tc>
        <w:tc>
          <w:tcPr>
            <w:tcW w:w="940" w:type="dxa"/>
            <w:shd w:val="clear" w:color="auto" w:fill="auto"/>
          </w:tcPr>
          <w:p w14:paraId="000D7779" w14:textId="77777777" w:rsidR="00E732A1" w:rsidRPr="00903BCB" w:rsidRDefault="00E732A1" w:rsidP="00E732A1">
            <w:pPr>
              <w:spacing w:before="240"/>
              <w:ind w:left="0" w:right="0"/>
              <w:jc w:val="right"/>
              <w:rPr>
                <w:sz w:val="24"/>
                <w:szCs w:val="24"/>
                <w:lang w:val="en-GB"/>
              </w:rPr>
            </w:pPr>
            <w:r w:rsidRPr="00903BCB">
              <w:rPr>
                <w:sz w:val="24"/>
                <w:szCs w:val="24"/>
                <w:rtl/>
                <w:lang w:val="en-GB"/>
              </w:rPr>
              <w:t>20,655</w:t>
            </w:r>
          </w:p>
        </w:tc>
        <w:tc>
          <w:tcPr>
            <w:tcW w:w="940" w:type="dxa"/>
            <w:shd w:val="clear" w:color="auto" w:fill="auto"/>
          </w:tcPr>
          <w:p w14:paraId="1FAD04F9" w14:textId="77777777" w:rsidR="00E732A1" w:rsidRPr="00903BCB" w:rsidRDefault="00E732A1" w:rsidP="00E732A1">
            <w:pPr>
              <w:spacing w:before="240"/>
              <w:ind w:left="0" w:right="0"/>
              <w:jc w:val="right"/>
              <w:rPr>
                <w:sz w:val="24"/>
                <w:szCs w:val="24"/>
                <w:lang w:val="en-GB"/>
              </w:rPr>
            </w:pPr>
            <w:r w:rsidRPr="00903BCB">
              <w:rPr>
                <w:sz w:val="24"/>
                <w:szCs w:val="24"/>
                <w:rtl/>
                <w:lang w:val="en-GB"/>
              </w:rPr>
              <w:t>34,313</w:t>
            </w:r>
          </w:p>
        </w:tc>
        <w:tc>
          <w:tcPr>
            <w:tcW w:w="940" w:type="dxa"/>
            <w:shd w:val="clear" w:color="auto" w:fill="auto"/>
          </w:tcPr>
          <w:p w14:paraId="4BA477C9" w14:textId="77777777" w:rsidR="00E732A1" w:rsidRPr="00903BCB" w:rsidRDefault="00E732A1" w:rsidP="00E732A1">
            <w:pPr>
              <w:spacing w:before="240"/>
              <w:ind w:left="0" w:right="0"/>
              <w:jc w:val="right"/>
              <w:rPr>
                <w:sz w:val="24"/>
                <w:szCs w:val="24"/>
                <w:lang w:val="en-GB"/>
              </w:rPr>
            </w:pPr>
            <w:r w:rsidRPr="00903BCB">
              <w:rPr>
                <w:sz w:val="24"/>
                <w:szCs w:val="24"/>
                <w:rtl/>
                <w:lang w:val="en-GB"/>
              </w:rPr>
              <w:t>34,214</w:t>
            </w:r>
          </w:p>
        </w:tc>
        <w:tc>
          <w:tcPr>
            <w:tcW w:w="940" w:type="dxa"/>
            <w:shd w:val="clear" w:color="auto" w:fill="auto"/>
          </w:tcPr>
          <w:p w14:paraId="7F942B63" w14:textId="77777777" w:rsidR="00E732A1" w:rsidRPr="00903BCB" w:rsidRDefault="00E732A1" w:rsidP="00E732A1">
            <w:pPr>
              <w:spacing w:before="240"/>
              <w:ind w:left="0" w:right="0"/>
              <w:jc w:val="right"/>
              <w:rPr>
                <w:sz w:val="24"/>
                <w:szCs w:val="24"/>
                <w:lang w:val="en-GB"/>
              </w:rPr>
            </w:pPr>
            <w:r w:rsidRPr="00903BCB">
              <w:rPr>
                <w:sz w:val="24"/>
                <w:szCs w:val="24"/>
                <w:rtl/>
                <w:lang w:val="en-GB"/>
              </w:rPr>
              <w:t>44,160</w:t>
            </w:r>
          </w:p>
        </w:tc>
        <w:tc>
          <w:tcPr>
            <w:tcW w:w="940" w:type="dxa"/>
            <w:shd w:val="clear" w:color="auto" w:fill="auto"/>
          </w:tcPr>
          <w:p w14:paraId="72517F34" w14:textId="77777777" w:rsidR="00E732A1" w:rsidRPr="00903BCB" w:rsidRDefault="00E732A1" w:rsidP="00E732A1">
            <w:pPr>
              <w:spacing w:before="240"/>
              <w:ind w:left="0" w:right="0"/>
              <w:jc w:val="right"/>
              <w:rPr>
                <w:sz w:val="24"/>
                <w:szCs w:val="24"/>
                <w:lang w:val="en-GB"/>
              </w:rPr>
            </w:pPr>
            <w:r w:rsidRPr="00903BCB">
              <w:rPr>
                <w:sz w:val="24"/>
                <w:szCs w:val="24"/>
                <w:rtl/>
                <w:lang w:val="en-GB"/>
              </w:rPr>
              <w:t>51,571</w:t>
            </w:r>
          </w:p>
        </w:tc>
        <w:tc>
          <w:tcPr>
            <w:tcW w:w="940" w:type="dxa"/>
            <w:shd w:val="clear" w:color="auto" w:fill="auto"/>
          </w:tcPr>
          <w:p w14:paraId="3B89F30A" w14:textId="77777777" w:rsidR="00E732A1" w:rsidRPr="00903BCB" w:rsidRDefault="00E732A1" w:rsidP="00E732A1">
            <w:pPr>
              <w:spacing w:before="240"/>
              <w:ind w:left="0" w:right="0"/>
              <w:jc w:val="right"/>
              <w:rPr>
                <w:sz w:val="24"/>
                <w:szCs w:val="24"/>
                <w:lang w:val="en-GB"/>
              </w:rPr>
            </w:pPr>
            <w:r w:rsidRPr="00903BCB">
              <w:rPr>
                <w:sz w:val="24"/>
                <w:szCs w:val="24"/>
                <w:rtl/>
                <w:lang w:val="en-GB"/>
              </w:rPr>
              <w:t>53,101</w:t>
            </w:r>
          </w:p>
        </w:tc>
        <w:tc>
          <w:tcPr>
            <w:tcW w:w="940" w:type="dxa"/>
            <w:shd w:val="clear" w:color="auto" w:fill="auto"/>
          </w:tcPr>
          <w:p w14:paraId="363D97EE" w14:textId="77777777" w:rsidR="00E732A1" w:rsidRPr="00903BCB" w:rsidRDefault="00E732A1" w:rsidP="00E732A1">
            <w:pPr>
              <w:spacing w:before="240"/>
              <w:ind w:left="0" w:right="0"/>
              <w:jc w:val="right"/>
              <w:rPr>
                <w:sz w:val="24"/>
                <w:szCs w:val="24"/>
                <w:lang w:val="en-GB"/>
              </w:rPr>
            </w:pPr>
            <w:r w:rsidRPr="00903BCB">
              <w:rPr>
                <w:sz w:val="24"/>
                <w:szCs w:val="24"/>
                <w:rtl/>
                <w:lang w:val="en-GB"/>
              </w:rPr>
              <w:t>74,368</w:t>
            </w:r>
          </w:p>
        </w:tc>
        <w:tc>
          <w:tcPr>
            <w:tcW w:w="1054" w:type="dxa"/>
            <w:shd w:val="clear" w:color="auto" w:fill="auto"/>
          </w:tcPr>
          <w:p w14:paraId="73FA625F" w14:textId="77777777" w:rsidR="00E732A1" w:rsidRPr="00903BCB" w:rsidRDefault="00E732A1" w:rsidP="00E732A1">
            <w:pPr>
              <w:spacing w:before="240"/>
              <w:ind w:left="0" w:right="0"/>
              <w:jc w:val="right"/>
              <w:rPr>
                <w:sz w:val="24"/>
                <w:szCs w:val="24"/>
                <w:lang w:val="en-GB"/>
              </w:rPr>
            </w:pPr>
            <w:r w:rsidRPr="00903BCB">
              <w:rPr>
                <w:sz w:val="24"/>
                <w:szCs w:val="24"/>
                <w:rtl/>
                <w:lang w:val="en-GB"/>
              </w:rPr>
              <w:t>74,368</w:t>
            </w:r>
          </w:p>
        </w:tc>
      </w:tr>
    </w:tbl>
    <w:p w14:paraId="027F2EED" w14:textId="5834BB81" w:rsidR="000A513A" w:rsidRPr="00903BCB" w:rsidRDefault="00AE03BC" w:rsidP="00B03AD5">
      <w:pPr>
        <w:spacing w:line="360" w:lineRule="auto"/>
        <w:ind w:left="90" w:right="0"/>
        <w:rPr>
          <w:sz w:val="24"/>
          <w:szCs w:val="24"/>
          <w:lang w:val="en-GB"/>
        </w:rPr>
      </w:pPr>
      <w:r w:rsidRPr="00903BCB">
        <w:rPr>
          <w:sz w:val="24"/>
          <w:szCs w:val="24"/>
          <w:lang w:val="en-GB"/>
        </w:rPr>
        <w:t xml:space="preserve">Source: </w:t>
      </w:r>
      <w:r w:rsidRPr="00903BCB">
        <w:rPr>
          <w:sz w:val="24"/>
          <w:szCs w:val="24"/>
        </w:rPr>
        <w:t xml:space="preserve">Jordan Resource Transfer Pool and </w:t>
      </w:r>
      <w:r w:rsidR="005E250A" w:rsidRPr="00903BCB">
        <w:rPr>
          <w:sz w:val="24"/>
          <w:szCs w:val="24"/>
        </w:rPr>
        <w:t>A</w:t>
      </w:r>
      <w:r w:rsidRPr="00903BCB">
        <w:rPr>
          <w:sz w:val="24"/>
          <w:szCs w:val="24"/>
        </w:rPr>
        <w:t xml:space="preserve">llocation to Municipalities Bulletin No. (01) </w:t>
      </w:r>
    </w:p>
    <w:p w14:paraId="4DA30186" w14:textId="77777777" w:rsidR="008D2AB6" w:rsidRPr="00903BCB" w:rsidRDefault="008D2AB6" w:rsidP="008D2AB6">
      <w:pPr>
        <w:spacing w:line="360" w:lineRule="auto"/>
        <w:ind w:left="0" w:right="0"/>
        <w:rPr>
          <w:sz w:val="24"/>
          <w:szCs w:val="24"/>
          <w:lang w:val="en-GB"/>
        </w:rPr>
      </w:pPr>
    </w:p>
    <w:p w14:paraId="4A887BAE" w14:textId="77777777" w:rsidR="008D2AB6" w:rsidRPr="00903BCB" w:rsidRDefault="008D2AB6" w:rsidP="008D2AB6">
      <w:pPr>
        <w:spacing w:line="360" w:lineRule="auto"/>
        <w:ind w:left="0" w:right="0"/>
        <w:rPr>
          <w:sz w:val="24"/>
          <w:szCs w:val="24"/>
        </w:rPr>
      </w:pPr>
      <w:r w:rsidRPr="00903BCB">
        <w:rPr>
          <w:sz w:val="24"/>
          <w:szCs w:val="24"/>
          <w:lang w:val="en-GB"/>
        </w:rPr>
        <w:t xml:space="preserve">By international standards, these are very low figures. </w:t>
      </w:r>
      <w:r w:rsidRPr="00903BCB">
        <w:rPr>
          <w:sz w:val="24"/>
          <w:szCs w:val="24"/>
        </w:rPr>
        <w:t xml:space="preserve">According to the IMF’s </w:t>
      </w:r>
      <w:r w:rsidRPr="00903BCB">
        <w:rPr>
          <w:i/>
          <w:sz w:val="24"/>
          <w:szCs w:val="24"/>
        </w:rPr>
        <w:t>GFS Yearbook 2008</w:t>
      </w:r>
      <w:r w:rsidRPr="00903BCB">
        <w:rPr>
          <w:rStyle w:val="FootnoteReference"/>
          <w:sz w:val="24"/>
          <w:szCs w:val="24"/>
        </w:rPr>
        <w:footnoteReference w:id="4"/>
      </w:r>
      <w:r w:rsidRPr="00903BCB">
        <w:rPr>
          <w:sz w:val="24"/>
          <w:szCs w:val="24"/>
        </w:rPr>
        <w:t xml:space="preserve"> the ratio of transfers to total government spending in Jordan was 3.3% in 2009. The average for 61 countries studied was 17.8%. The disparity is even larger if the comparison is made with the proportion of these transfers to central government spending: 1.4% in Jordan against 10.7% for the same group of 61 countries.</w:t>
      </w:r>
    </w:p>
    <w:p w14:paraId="6437F849" w14:textId="77777777" w:rsidR="00020B28" w:rsidRPr="00903BCB" w:rsidRDefault="00020B28" w:rsidP="00622914">
      <w:pPr>
        <w:spacing w:line="360" w:lineRule="auto"/>
        <w:ind w:left="0" w:right="0"/>
        <w:rPr>
          <w:sz w:val="24"/>
          <w:szCs w:val="24"/>
          <w:lang w:val="en-GB"/>
        </w:rPr>
      </w:pPr>
    </w:p>
    <w:p w14:paraId="523CFF95" w14:textId="2D41B2CE" w:rsidR="00750D2A" w:rsidRPr="00903BCB" w:rsidRDefault="00750D2A" w:rsidP="00622914">
      <w:pPr>
        <w:spacing w:line="360" w:lineRule="auto"/>
        <w:ind w:left="0" w:right="0"/>
        <w:rPr>
          <w:sz w:val="24"/>
          <w:szCs w:val="24"/>
          <w:lang w:val="en-GB"/>
        </w:rPr>
      </w:pPr>
      <w:r w:rsidRPr="00903BCB">
        <w:rPr>
          <w:sz w:val="24"/>
          <w:szCs w:val="24"/>
        </w:rPr>
        <w:t xml:space="preserve">Municipal </w:t>
      </w:r>
      <w:r w:rsidR="008E1B8E" w:rsidRPr="00903BCB">
        <w:rPr>
          <w:sz w:val="24"/>
          <w:szCs w:val="24"/>
        </w:rPr>
        <w:t>funds</w:t>
      </w:r>
      <w:r w:rsidRPr="00903BCB">
        <w:rPr>
          <w:sz w:val="24"/>
          <w:szCs w:val="24"/>
        </w:rPr>
        <w:t xml:space="preserve"> come from three sources: (i) local taxes and service fees</w:t>
      </w:r>
      <w:r w:rsidR="008D2AB6" w:rsidRPr="00903BCB">
        <w:rPr>
          <w:sz w:val="24"/>
          <w:szCs w:val="24"/>
        </w:rPr>
        <w:t xml:space="preserve"> (i.e., </w:t>
      </w:r>
      <w:r w:rsidRPr="00903BCB">
        <w:rPr>
          <w:sz w:val="24"/>
          <w:szCs w:val="24"/>
        </w:rPr>
        <w:t>property tax</w:t>
      </w:r>
      <w:r w:rsidR="005E250A" w:rsidRPr="00903BCB">
        <w:rPr>
          <w:sz w:val="24"/>
          <w:szCs w:val="24"/>
        </w:rPr>
        <w:t>es</w:t>
      </w:r>
      <w:r w:rsidR="008D2AB6" w:rsidRPr="00903BCB">
        <w:rPr>
          <w:sz w:val="24"/>
          <w:szCs w:val="24"/>
        </w:rPr>
        <w:t>;</w:t>
      </w:r>
      <w:r w:rsidR="005E250A" w:rsidRPr="00903BCB">
        <w:rPr>
          <w:sz w:val="24"/>
          <w:szCs w:val="24"/>
        </w:rPr>
        <w:t xml:space="preserve"> </w:t>
      </w:r>
      <w:r w:rsidR="00121538" w:rsidRPr="00903BCB">
        <w:rPr>
          <w:sz w:val="24"/>
          <w:szCs w:val="24"/>
        </w:rPr>
        <w:t>sa</w:t>
      </w:r>
      <w:r w:rsidR="00E00776" w:rsidRPr="00903BCB">
        <w:rPr>
          <w:sz w:val="24"/>
          <w:szCs w:val="24"/>
        </w:rPr>
        <w:t xml:space="preserve">nitary and municipal violation </w:t>
      </w:r>
      <w:r w:rsidR="00121538" w:rsidRPr="00903BCB">
        <w:rPr>
          <w:sz w:val="24"/>
          <w:szCs w:val="24"/>
        </w:rPr>
        <w:t>fees</w:t>
      </w:r>
      <w:r w:rsidR="008D2AB6" w:rsidRPr="00903BCB">
        <w:rPr>
          <w:sz w:val="24"/>
          <w:szCs w:val="24"/>
        </w:rPr>
        <w:t>);</w:t>
      </w:r>
      <w:r w:rsidRPr="00903BCB">
        <w:rPr>
          <w:sz w:val="24"/>
          <w:szCs w:val="24"/>
        </w:rPr>
        <w:t xml:space="preserve"> (ii) transfers from the State </w:t>
      </w:r>
      <w:r w:rsidR="008D2AB6" w:rsidRPr="00903BCB">
        <w:rPr>
          <w:sz w:val="24"/>
          <w:szCs w:val="24"/>
        </w:rPr>
        <w:t xml:space="preserve">(the </w:t>
      </w:r>
      <w:r w:rsidRPr="00903BCB">
        <w:rPr>
          <w:sz w:val="24"/>
          <w:szCs w:val="24"/>
        </w:rPr>
        <w:t xml:space="preserve">sum of 6% </w:t>
      </w:r>
      <w:r w:rsidR="006D083D" w:rsidRPr="00903BCB">
        <w:rPr>
          <w:sz w:val="24"/>
          <w:szCs w:val="24"/>
        </w:rPr>
        <w:t xml:space="preserve">of the </w:t>
      </w:r>
      <w:r w:rsidRPr="00903BCB">
        <w:rPr>
          <w:sz w:val="24"/>
          <w:szCs w:val="24"/>
        </w:rPr>
        <w:t xml:space="preserve">tax on refined petroleum products, 40% of the tax on </w:t>
      </w:r>
      <w:r w:rsidR="006D083D" w:rsidRPr="00903BCB">
        <w:rPr>
          <w:sz w:val="24"/>
          <w:szCs w:val="24"/>
        </w:rPr>
        <w:t xml:space="preserve">the </w:t>
      </w:r>
      <w:r w:rsidRPr="00903BCB">
        <w:rPr>
          <w:sz w:val="24"/>
          <w:szCs w:val="24"/>
        </w:rPr>
        <w:t>purchase of vehicles, and the proceeds of road traffic fines</w:t>
      </w:r>
      <w:r w:rsidR="008D2AB6" w:rsidRPr="00903BCB">
        <w:rPr>
          <w:sz w:val="24"/>
          <w:szCs w:val="24"/>
        </w:rPr>
        <w:t>)</w:t>
      </w:r>
      <w:r w:rsidRPr="00903BCB">
        <w:rPr>
          <w:sz w:val="24"/>
          <w:szCs w:val="24"/>
        </w:rPr>
        <w:t xml:space="preserve">; and (iii) </w:t>
      </w:r>
      <w:r w:rsidR="008D2AB6" w:rsidRPr="00903BCB">
        <w:rPr>
          <w:sz w:val="24"/>
          <w:szCs w:val="24"/>
        </w:rPr>
        <w:t xml:space="preserve">loans </w:t>
      </w:r>
      <w:r w:rsidRPr="00903BCB">
        <w:rPr>
          <w:sz w:val="24"/>
          <w:szCs w:val="24"/>
        </w:rPr>
        <w:t>from the Cities and Villages Development Bank (CVDB).</w:t>
      </w:r>
    </w:p>
    <w:p w14:paraId="28BCB2E9" w14:textId="77777777" w:rsidR="00D5768A" w:rsidRPr="00903BCB" w:rsidRDefault="00D5768A" w:rsidP="00622914">
      <w:pPr>
        <w:spacing w:line="360" w:lineRule="auto"/>
        <w:ind w:left="0" w:right="0"/>
        <w:rPr>
          <w:sz w:val="24"/>
          <w:szCs w:val="24"/>
        </w:rPr>
      </w:pPr>
    </w:p>
    <w:p w14:paraId="6A2867F6" w14:textId="5BC40143" w:rsidR="001729CA" w:rsidRPr="00903BCB" w:rsidRDefault="001729CA" w:rsidP="00622914">
      <w:pPr>
        <w:spacing w:line="360" w:lineRule="auto"/>
        <w:ind w:left="0" w:right="0"/>
        <w:rPr>
          <w:b/>
          <w:sz w:val="24"/>
          <w:szCs w:val="24"/>
        </w:rPr>
      </w:pPr>
      <w:r w:rsidRPr="00903BCB">
        <w:rPr>
          <w:b/>
          <w:sz w:val="24"/>
          <w:szCs w:val="24"/>
        </w:rPr>
        <w:t xml:space="preserve">2. Local Government System </w:t>
      </w:r>
    </w:p>
    <w:p w14:paraId="2B2947F9" w14:textId="77777777" w:rsidR="00723897" w:rsidRPr="00903BCB" w:rsidRDefault="00A60E92" w:rsidP="00622914">
      <w:pPr>
        <w:spacing w:line="360" w:lineRule="auto"/>
        <w:ind w:left="0"/>
        <w:rPr>
          <w:i/>
          <w:sz w:val="24"/>
          <w:szCs w:val="24"/>
        </w:rPr>
      </w:pPr>
      <w:r w:rsidRPr="00903BCB">
        <w:rPr>
          <w:bCs/>
          <w:i/>
          <w:sz w:val="24"/>
          <w:szCs w:val="24"/>
          <w:lang w:val="en-GB"/>
        </w:rPr>
        <w:t>2.1.</w:t>
      </w:r>
      <w:r w:rsidR="00723897" w:rsidRPr="00903BCB">
        <w:rPr>
          <w:bCs/>
          <w:i/>
          <w:sz w:val="24"/>
          <w:szCs w:val="24"/>
          <w:lang w:val="en-GB"/>
        </w:rPr>
        <w:t xml:space="preserve"> Governorates </w:t>
      </w:r>
    </w:p>
    <w:p w14:paraId="69BADBBE" w14:textId="723A4687" w:rsidR="00723897" w:rsidRPr="00903BCB" w:rsidRDefault="00DA0FC1" w:rsidP="00CC5B9D">
      <w:pPr>
        <w:spacing w:line="360" w:lineRule="auto"/>
        <w:ind w:left="0" w:right="0"/>
        <w:rPr>
          <w:sz w:val="24"/>
          <w:szCs w:val="24"/>
        </w:rPr>
      </w:pPr>
      <w:r w:rsidRPr="00903BCB">
        <w:rPr>
          <w:sz w:val="24"/>
          <w:szCs w:val="24"/>
        </w:rPr>
        <w:t>As previously noted, g</w:t>
      </w:r>
      <w:r w:rsidR="00723897" w:rsidRPr="00903BCB">
        <w:rPr>
          <w:sz w:val="24"/>
          <w:szCs w:val="24"/>
        </w:rPr>
        <w:t>overnorates ar</w:t>
      </w:r>
      <w:r w:rsidRPr="00903BCB">
        <w:rPr>
          <w:sz w:val="24"/>
          <w:szCs w:val="24"/>
        </w:rPr>
        <w:t>e</w:t>
      </w:r>
      <w:r w:rsidR="00723897" w:rsidRPr="00903BCB">
        <w:rPr>
          <w:sz w:val="24"/>
          <w:szCs w:val="24"/>
        </w:rPr>
        <w:t xml:space="preserve"> deconcentrated ent</w:t>
      </w:r>
      <w:r w:rsidR="00E343B9" w:rsidRPr="00903BCB">
        <w:rPr>
          <w:sz w:val="24"/>
          <w:szCs w:val="24"/>
        </w:rPr>
        <w:t>ities</w:t>
      </w:r>
      <w:r w:rsidRPr="00903BCB">
        <w:rPr>
          <w:sz w:val="24"/>
          <w:szCs w:val="24"/>
        </w:rPr>
        <w:t xml:space="preserve"> of the central government</w:t>
      </w:r>
      <w:r w:rsidR="00E343B9" w:rsidRPr="00903BCB">
        <w:rPr>
          <w:sz w:val="24"/>
          <w:szCs w:val="24"/>
        </w:rPr>
        <w:t>. There are a total of</w:t>
      </w:r>
      <w:r w:rsidR="00A02B35" w:rsidRPr="00903BCB">
        <w:rPr>
          <w:sz w:val="24"/>
          <w:szCs w:val="24"/>
        </w:rPr>
        <w:t xml:space="preserve"> twelve</w:t>
      </w:r>
      <w:r w:rsidR="00E343B9" w:rsidRPr="00903BCB">
        <w:rPr>
          <w:sz w:val="24"/>
          <w:szCs w:val="24"/>
        </w:rPr>
        <w:t xml:space="preserve"> </w:t>
      </w:r>
      <w:r w:rsidR="006D083D" w:rsidRPr="00903BCB">
        <w:rPr>
          <w:sz w:val="24"/>
          <w:szCs w:val="24"/>
        </w:rPr>
        <w:t>g</w:t>
      </w:r>
      <w:r w:rsidR="00723897" w:rsidRPr="00903BCB">
        <w:rPr>
          <w:sz w:val="24"/>
          <w:szCs w:val="24"/>
        </w:rPr>
        <w:t xml:space="preserve">overnorates managed by appointed governors and line ministry </w:t>
      </w:r>
      <w:r w:rsidR="008D2AB6" w:rsidRPr="00903BCB">
        <w:rPr>
          <w:sz w:val="24"/>
          <w:szCs w:val="24"/>
        </w:rPr>
        <w:t>directors</w:t>
      </w:r>
      <w:r w:rsidR="00723897" w:rsidRPr="00903BCB">
        <w:rPr>
          <w:sz w:val="24"/>
          <w:szCs w:val="24"/>
        </w:rPr>
        <w:t xml:space="preserve"> that</w:t>
      </w:r>
      <w:r w:rsidR="00A02B35" w:rsidRPr="00903BCB">
        <w:rPr>
          <w:sz w:val="24"/>
          <w:szCs w:val="24"/>
        </w:rPr>
        <w:t xml:space="preserve">, </w:t>
      </w:r>
      <w:r w:rsidR="00723897" w:rsidRPr="00903BCB">
        <w:rPr>
          <w:sz w:val="24"/>
          <w:szCs w:val="24"/>
        </w:rPr>
        <w:t>jointly with mayors</w:t>
      </w:r>
      <w:r w:rsidR="00575834" w:rsidRPr="00903BCB">
        <w:rPr>
          <w:sz w:val="24"/>
          <w:szCs w:val="24"/>
        </w:rPr>
        <w:t>,</w:t>
      </w:r>
      <w:r w:rsidR="008842C0" w:rsidRPr="00903BCB">
        <w:rPr>
          <w:sz w:val="24"/>
          <w:szCs w:val="24"/>
        </w:rPr>
        <w:t xml:space="preserve"> </w:t>
      </w:r>
      <w:r w:rsidR="00723897" w:rsidRPr="00903BCB">
        <w:rPr>
          <w:sz w:val="24"/>
          <w:szCs w:val="24"/>
        </w:rPr>
        <w:t xml:space="preserve">form the </w:t>
      </w:r>
      <w:r w:rsidR="00070DA0" w:rsidRPr="00903BCB">
        <w:rPr>
          <w:sz w:val="24"/>
          <w:szCs w:val="24"/>
        </w:rPr>
        <w:t>e</w:t>
      </w:r>
      <w:r w:rsidR="00723897" w:rsidRPr="00903BCB">
        <w:rPr>
          <w:sz w:val="24"/>
          <w:szCs w:val="24"/>
        </w:rPr>
        <w:t xml:space="preserve">xecutive </w:t>
      </w:r>
      <w:r w:rsidR="00070DA0" w:rsidRPr="00903BCB">
        <w:rPr>
          <w:sz w:val="24"/>
          <w:szCs w:val="24"/>
        </w:rPr>
        <w:t>c</w:t>
      </w:r>
      <w:r w:rsidR="00723897" w:rsidRPr="00903BCB">
        <w:rPr>
          <w:sz w:val="24"/>
          <w:szCs w:val="24"/>
        </w:rPr>
        <w:t>ounc</w:t>
      </w:r>
      <w:r w:rsidR="00E343B9" w:rsidRPr="00903BCB">
        <w:rPr>
          <w:sz w:val="24"/>
          <w:szCs w:val="24"/>
        </w:rPr>
        <w:t xml:space="preserve">il. </w:t>
      </w:r>
      <w:r w:rsidR="00606F53" w:rsidRPr="00903BCB">
        <w:rPr>
          <w:sz w:val="24"/>
          <w:szCs w:val="24"/>
        </w:rPr>
        <w:t>In addition, t</w:t>
      </w:r>
      <w:r w:rsidR="00723897" w:rsidRPr="00903BCB">
        <w:rPr>
          <w:sz w:val="24"/>
          <w:szCs w:val="24"/>
        </w:rPr>
        <w:t xml:space="preserve">he </w:t>
      </w:r>
      <w:r w:rsidR="00606F53" w:rsidRPr="00903BCB">
        <w:rPr>
          <w:sz w:val="24"/>
          <w:szCs w:val="24"/>
        </w:rPr>
        <w:t>local</w:t>
      </w:r>
      <w:r w:rsidR="00723897" w:rsidRPr="00903BCB">
        <w:rPr>
          <w:sz w:val="24"/>
          <w:szCs w:val="24"/>
        </w:rPr>
        <w:t xml:space="preserve"> </w:t>
      </w:r>
      <w:r w:rsidR="00070DA0" w:rsidRPr="00903BCB">
        <w:rPr>
          <w:sz w:val="24"/>
          <w:szCs w:val="24"/>
        </w:rPr>
        <w:t>c</w:t>
      </w:r>
      <w:r w:rsidR="00723897" w:rsidRPr="00903BCB">
        <w:rPr>
          <w:sz w:val="24"/>
          <w:szCs w:val="24"/>
        </w:rPr>
        <w:t xml:space="preserve">ouncil has advisory and </w:t>
      </w:r>
      <w:r w:rsidR="00606F53" w:rsidRPr="00903BCB">
        <w:rPr>
          <w:sz w:val="24"/>
          <w:szCs w:val="24"/>
        </w:rPr>
        <w:t>consultative</w:t>
      </w:r>
      <w:r w:rsidR="00723897" w:rsidRPr="00903BCB">
        <w:rPr>
          <w:sz w:val="24"/>
          <w:szCs w:val="24"/>
        </w:rPr>
        <w:t xml:space="preserve"> function</w:t>
      </w:r>
      <w:r w:rsidR="006D083D" w:rsidRPr="00903BCB">
        <w:rPr>
          <w:sz w:val="24"/>
          <w:szCs w:val="24"/>
        </w:rPr>
        <w:t>s</w:t>
      </w:r>
      <w:r w:rsidR="00723897" w:rsidRPr="00903BCB">
        <w:rPr>
          <w:sz w:val="24"/>
          <w:szCs w:val="24"/>
        </w:rPr>
        <w:t xml:space="preserve"> and </w:t>
      </w:r>
      <w:r w:rsidR="006D083D" w:rsidRPr="00903BCB">
        <w:rPr>
          <w:sz w:val="24"/>
          <w:szCs w:val="24"/>
        </w:rPr>
        <w:t xml:space="preserve">is </w:t>
      </w:r>
      <w:r w:rsidR="00723897" w:rsidRPr="00903BCB">
        <w:rPr>
          <w:sz w:val="24"/>
          <w:szCs w:val="24"/>
        </w:rPr>
        <w:t>comprise</w:t>
      </w:r>
      <w:r w:rsidR="006D083D" w:rsidRPr="00903BCB">
        <w:rPr>
          <w:sz w:val="24"/>
          <w:szCs w:val="24"/>
        </w:rPr>
        <w:t>d of</w:t>
      </w:r>
      <w:r w:rsidR="00723897" w:rsidRPr="00903BCB">
        <w:rPr>
          <w:sz w:val="24"/>
          <w:szCs w:val="24"/>
        </w:rPr>
        <w:t xml:space="preserve"> representatives of civil society institutions, municipalities, members of Parliament a</w:t>
      </w:r>
      <w:r w:rsidR="00E171B4" w:rsidRPr="00903BCB">
        <w:rPr>
          <w:sz w:val="24"/>
          <w:szCs w:val="24"/>
        </w:rPr>
        <w:t xml:space="preserve">nd </w:t>
      </w:r>
      <w:r w:rsidR="006D083D" w:rsidRPr="00903BCB">
        <w:rPr>
          <w:sz w:val="24"/>
          <w:szCs w:val="24"/>
        </w:rPr>
        <w:t>S</w:t>
      </w:r>
      <w:r w:rsidR="00E171B4" w:rsidRPr="00903BCB">
        <w:rPr>
          <w:sz w:val="24"/>
          <w:szCs w:val="24"/>
        </w:rPr>
        <w:t>tate representatives</w:t>
      </w:r>
      <w:r w:rsidR="00723897" w:rsidRPr="00903BCB">
        <w:rPr>
          <w:sz w:val="24"/>
          <w:szCs w:val="24"/>
        </w:rPr>
        <w:t xml:space="preserve">. </w:t>
      </w:r>
    </w:p>
    <w:p w14:paraId="408D0262" w14:textId="77777777" w:rsidR="00CC5B9D" w:rsidRPr="00903BCB" w:rsidRDefault="00CC5B9D" w:rsidP="00CC5B9D">
      <w:pPr>
        <w:pStyle w:val="MediumGrid1-Accent21"/>
        <w:spacing w:line="360" w:lineRule="auto"/>
        <w:ind w:left="0" w:right="0"/>
        <w:rPr>
          <w:sz w:val="24"/>
          <w:szCs w:val="24"/>
        </w:rPr>
      </w:pPr>
    </w:p>
    <w:p w14:paraId="7CA134D4" w14:textId="2BA8FDAF" w:rsidR="00723897" w:rsidRPr="00903BCB" w:rsidRDefault="00723897" w:rsidP="00CC5B9D">
      <w:pPr>
        <w:pStyle w:val="MediumGrid1-Accent21"/>
        <w:spacing w:line="360" w:lineRule="auto"/>
        <w:ind w:left="0" w:right="0"/>
        <w:rPr>
          <w:sz w:val="24"/>
          <w:szCs w:val="24"/>
        </w:rPr>
      </w:pPr>
      <w:r w:rsidRPr="00903BCB">
        <w:rPr>
          <w:sz w:val="24"/>
          <w:szCs w:val="24"/>
        </w:rPr>
        <w:t xml:space="preserve">The </w:t>
      </w:r>
      <w:r w:rsidR="00A13332" w:rsidRPr="00903BCB">
        <w:rPr>
          <w:bCs/>
          <w:sz w:val="24"/>
          <w:szCs w:val="24"/>
        </w:rPr>
        <w:t>g</w:t>
      </w:r>
      <w:r w:rsidRPr="00903BCB">
        <w:rPr>
          <w:bCs/>
          <w:sz w:val="24"/>
          <w:szCs w:val="24"/>
        </w:rPr>
        <w:t>overnor</w:t>
      </w:r>
      <w:r w:rsidRPr="00903BCB">
        <w:rPr>
          <w:sz w:val="24"/>
          <w:szCs w:val="24"/>
        </w:rPr>
        <w:t xml:space="preserve"> is appointed by the </w:t>
      </w:r>
      <w:r w:rsidR="00881126" w:rsidRPr="00903BCB">
        <w:rPr>
          <w:sz w:val="24"/>
          <w:szCs w:val="24"/>
        </w:rPr>
        <w:t>C</w:t>
      </w:r>
      <w:r w:rsidRPr="00903BCB">
        <w:rPr>
          <w:sz w:val="24"/>
          <w:szCs w:val="24"/>
        </w:rPr>
        <w:t xml:space="preserve">ouncil of the </w:t>
      </w:r>
      <w:r w:rsidR="00881126" w:rsidRPr="00903BCB">
        <w:rPr>
          <w:sz w:val="24"/>
          <w:szCs w:val="24"/>
        </w:rPr>
        <w:t>M</w:t>
      </w:r>
      <w:r w:rsidRPr="00903BCB">
        <w:rPr>
          <w:sz w:val="24"/>
          <w:szCs w:val="24"/>
        </w:rPr>
        <w:t>inisters on the recommendati</w:t>
      </w:r>
      <w:r w:rsidR="00EB6789" w:rsidRPr="00903BCB">
        <w:rPr>
          <w:sz w:val="24"/>
          <w:szCs w:val="24"/>
        </w:rPr>
        <w:t xml:space="preserve">on of the Minister of Interior. </w:t>
      </w:r>
      <w:r w:rsidRPr="00903BCB">
        <w:rPr>
          <w:sz w:val="24"/>
          <w:szCs w:val="24"/>
        </w:rPr>
        <w:t>As such</w:t>
      </w:r>
      <w:r w:rsidR="00E171B4" w:rsidRPr="00903BCB">
        <w:rPr>
          <w:sz w:val="24"/>
          <w:szCs w:val="24"/>
        </w:rPr>
        <w:t>,</w:t>
      </w:r>
      <w:r w:rsidRPr="00903BCB">
        <w:rPr>
          <w:sz w:val="24"/>
          <w:szCs w:val="24"/>
        </w:rPr>
        <w:t xml:space="preserve"> he assumes the highest executive authority in th</w:t>
      </w:r>
      <w:r w:rsidR="00E171B4" w:rsidRPr="00903BCB">
        <w:rPr>
          <w:sz w:val="24"/>
          <w:szCs w:val="24"/>
        </w:rPr>
        <w:t xml:space="preserve">e </w:t>
      </w:r>
      <w:r w:rsidR="006D083D" w:rsidRPr="00903BCB">
        <w:rPr>
          <w:sz w:val="24"/>
          <w:szCs w:val="24"/>
        </w:rPr>
        <w:t>g</w:t>
      </w:r>
      <w:r w:rsidR="00E171B4" w:rsidRPr="00903BCB">
        <w:rPr>
          <w:sz w:val="24"/>
          <w:szCs w:val="24"/>
        </w:rPr>
        <w:t>overnorate</w:t>
      </w:r>
      <w:r w:rsidR="00A02B35" w:rsidRPr="00903BCB">
        <w:rPr>
          <w:sz w:val="24"/>
          <w:szCs w:val="24"/>
        </w:rPr>
        <w:t>,</w:t>
      </w:r>
      <w:r w:rsidR="00E171B4" w:rsidRPr="00903BCB">
        <w:rPr>
          <w:sz w:val="24"/>
          <w:szCs w:val="24"/>
        </w:rPr>
        <w:t xml:space="preserve"> and</w:t>
      </w:r>
      <w:r w:rsidRPr="00903BCB">
        <w:rPr>
          <w:sz w:val="24"/>
          <w:szCs w:val="24"/>
        </w:rPr>
        <w:t xml:space="preserve"> his primar</w:t>
      </w:r>
      <w:r w:rsidR="006D2986" w:rsidRPr="00903BCB">
        <w:rPr>
          <w:sz w:val="24"/>
          <w:szCs w:val="24"/>
        </w:rPr>
        <w:t>y</w:t>
      </w:r>
      <w:r w:rsidRPr="00903BCB">
        <w:rPr>
          <w:sz w:val="24"/>
          <w:szCs w:val="24"/>
        </w:rPr>
        <w:t xml:space="preserve"> role is </w:t>
      </w:r>
      <w:r w:rsidR="00E171B4" w:rsidRPr="00903BCB">
        <w:rPr>
          <w:sz w:val="24"/>
          <w:szCs w:val="24"/>
        </w:rPr>
        <w:t xml:space="preserve">to </w:t>
      </w:r>
      <w:r w:rsidRPr="00903BCB">
        <w:rPr>
          <w:sz w:val="24"/>
          <w:szCs w:val="24"/>
        </w:rPr>
        <w:t>maintain law and security</w:t>
      </w:r>
      <w:r w:rsidR="006D083D" w:rsidRPr="00903BCB">
        <w:rPr>
          <w:sz w:val="24"/>
          <w:szCs w:val="24"/>
        </w:rPr>
        <w:t>. In addition, he</w:t>
      </w:r>
      <w:r w:rsidRPr="00903BCB">
        <w:rPr>
          <w:sz w:val="24"/>
          <w:szCs w:val="24"/>
        </w:rPr>
        <w:t xml:space="preserve"> coordinat</w:t>
      </w:r>
      <w:r w:rsidR="006D083D" w:rsidRPr="00903BCB">
        <w:rPr>
          <w:sz w:val="24"/>
          <w:szCs w:val="24"/>
        </w:rPr>
        <w:t>es</w:t>
      </w:r>
      <w:r w:rsidRPr="00903BCB">
        <w:rPr>
          <w:sz w:val="24"/>
          <w:szCs w:val="24"/>
        </w:rPr>
        <w:t xml:space="preserve"> and monitor</w:t>
      </w:r>
      <w:r w:rsidR="006D083D" w:rsidRPr="00903BCB">
        <w:rPr>
          <w:sz w:val="24"/>
          <w:szCs w:val="24"/>
        </w:rPr>
        <w:t>s</w:t>
      </w:r>
      <w:r w:rsidRPr="00903BCB">
        <w:rPr>
          <w:sz w:val="24"/>
          <w:szCs w:val="24"/>
        </w:rPr>
        <w:t xml:space="preserve"> the performance of </w:t>
      </w:r>
      <w:r w:rsidR="00F33EB9" w:rsidRPr="00903BCB">
        <w:rPr>
          <w:sz w:val="24"/>
          <w:szCs w:val="24"/>
        </w:rPr>
        <w:t xml:space="preserve">government </w:t>
      </w:r>
      <w:r w:rsidR="006645B8" w:rsidRPr="00903BCB">
        <w:rPr>
          <w:sz w:val="24"/>
          <w:szCs w:val="24"/>
        </w:rPr>
        <w:t>a</w:t>
      </w:r>
      <w:r w:rsidRPr="00903BCB">
        <w:rPr>
          <w:sz w:val="24"/>
          <w:szCs w:val="24"/>
        </w:rPr>
        <w:t>gencies in the governorate, promot</w:t>
      </w:r>
      <w:r w:rsidR="00A02B35" w:rsidRPr="00903BCB">
        <w:rPr>
          <w:sz w:val="24"/>
          <w:szCs w:val="24"/>
        </w:rPr>
        <w:t>e</w:t>
      </w:r>
      <w:r w:rsidR="00F55F09" w:rsidRPr="00903BCB">
        <w:rPr>
          <w:sz w:val="24"/>
          <w:szCs w:val="24"/>
        </w:rPr>
        <w:t>s</w:t>
      </w:r>
      <w:r w:rsidRPr="00903BCB">
        <w:rPr>
          <w:sz w:val="24"/>
          <w:szCs w:val="24"/>
        </w:rPr>
        <w:t xml:space="preserve"> an investment and development-friendly environment (without any direct implementation role), and supervis</w:t>
      </w:r>
      <w:r w:rsidR="00A02B35" w:rsidRPr="00903BCB">
        <w:rPr>
          <w:sz w:val="24"/>
          <w:szCs w:val="24"/>
        </w:rPr>
        <w:t>e</w:t>
      </w:r>
      <w:r w:rsidR="00F55F09" w:rsidRPr="00903BCB">
        <w:rPr>
          <w:sz w:val="24"/>
          <w:szCs w:val="24"/>
        </w:rPr>
        <w:t>s</w:t>
      </w:r>
      <w:r w:rsidRPr="00903BCB">
        <w:rPr>
          <w:sz w:val="24"/>
          <w:szCs w:val="24"/>
        </w:rPr>
        <w:t xml:space="preserve"> </w:t>
      </w:r>
      <w:r w:rsidR="00A13332" w:rsidRPr="00903BCB">
        <w:rPr>
          <w:sz w:val="24"/>
          <w:szCs w:val="24"/>
        </w:rPr>
        <w:t>l</w:t>
      </w:r>
      <w:r w:rsidRPr="00903BCB">
        <w:rPr>
          <w:sz w:val="24"/>
          <w:szCs w:val="24"/>
        </w:rPr>
        <w:t xml:space="preserve">ocal </w:t>
      </w:r>
      <w:r w:rsidR="00A13332" w:rsidRPr="00903BCB">
        <w:rPr>
          <w:sz w:val="24"/>
          <w:szCs w:val="24"/>
        </w:rPr>
        <w:t>c</w:t>
      </w:r>
      <w:r w:rsidRPr="00903BCB">
        <w:rPr>
          <w:sz w:val="24"/>
          <w:szCs w:val="24"/>
        </w:rPr>
        <w:t>ouncils’ activit</w:t>
      </w:r>
      <w:r w:rsidR="00F55F09" w:rsidRPr="00903BCB">
        <w:rPr>
          <w:sz w:val="24"/>
          <w:szCs w:val="24"/>
        </w:rPr>
        <w:t>ies</w:t>
      </w:r>
      <w:r w:rsidRPr="00903BCB">
        <w:rPr>
          <w:sz w:val="24"/>
          <w:szCs w:val="24"/>
        </w:rPr>
        <w:t xml:space="preserve">. </w:t>
      </w:r>
    </w:p>
    <w:p w14:paraId="4F7490F1" w14:textId="77777777" w:rsidR="00CC5B9D" w:rsidRPr="00903BCB" w:rsidRDefault="00CC5B9D" w:rsidP="00CC5B9D">
      <w:pPr>
        <w:pStyle w:val="MediumGrid1-Accent21"/>
        <w:spacing w:line="360" w:lineRule="auto"/>
        <w:ind w:left="0" w:right="0"/>
        <w:rPr>
          <w:sz w:val="24"/>
          <w:szCs w:val="24"/>
        </w:rPr>
      </w:pPr>
    </w:p>
    <w:p w14:paraId="45E944FE" w14:textId="6EF35E16" w:rsidR="00723897" w:rsidRPr="00903BCB" w:rsidRDefault="00723897" w:rsidP="00CC5B9D">
      <w:pPr>
        <w:pStyle w:val="MediumGrid1-Accent21"/>
        <w:spacing w:line="360" w:lineRule="auto"/>
        <w:ind w:left="0" w:right="0"/>
        <w:rPr>
          <w:sz w:val="24"/>
          <w:szCs w:val="24"/>
        </w:rPr>
      </w:pPr>
      <w:r w:rsidRPr="00903BCB">
        <w:rPr>
          <w:sz w:val="24"/>
          <w:szCs w:val="24"/>
        </w:rPr>
        <w:t xml:space="preserve">The </w:t>
      </w:r>
      <w:r w:rsidR="00F55F09" w:rsidRPr="00903BCB">
        <w:rPr>
          <w:bCs/>
          <w:sz w:val="24"/>
          <w:szCs w:val="24"/>
        </w:rPr>
        <w:t>l</w:t>
      </w:r>
      <w:r w:rsidRPr="00903BCB">
        <w:rPr>
          <w:bCs/>
          <w:sz w:val="24"/>
          <w:szCs w:val="24"/>
        </w:rPr>
        <w:t xml:space="preserve">ine </w:t>
      </w:r>
      <w:r w:rsidR="00F55F09" w:rsidRPr="00903BCB">
        <w:rPr>
          <w:bCs/>
          <w:sz w:val="24"/>
          <w:szCs w:val="24"/>
        </w:rPr>
        <w:t>m</w:t>
      </w:r>
      <w:r w:rsidRPr="00903BCB">
        <w:rPr>
          <w:bCs/>
          <w:sz w:val="24"/>
          <w:szCs w:val="24"/>
        </w:rPr>
        <w:t>inistries</w:t>
      </w:r>
      <w:r w:rsidRPr="00903BCB">
        <w:rPr>
          <w:sz w:val="24"/>
          <w:szCs w:val="24"/>
        </w:rPr>
        <w:t xml:space="preserve"> and other central government agencies </w:t>
      </w:r>
      <w:r w:rsidR="003A36C5" w:rsidRPr="00903BCB">
        <w:rPr>
          <w:sz w:val="24"/>
          <w:szCs w:val="24"/>
        </w:rPr>
        <w:t>function</w:t>
      </w:r>
      <w:r w:rsidRPr="00903BCB">
        <w:rPr>
          <w:sz w:val="24"/>
          <w:szCs w:val="24"/>
        </w:rPr>
        <w:t xml:space="preserve"> at the sub-national level through their respective governorate</w:t>
      </w:r>
      <w:r w:rsidRPr="00903BCB">
        <w:rPr>
          <w:rFonts w:ascii="Noteworthy Bold" w:hAnsi="Noteworthy Bold" w:cs="Noteworthy Bold"/>
          <w:sz w:val="24"/>
          <w:szCs w:val="24"/>
        </w:rPr>
        <w:t>‐</w:t>
      </w:r>
      <w:r w:rsidRPr="00903BCB">
        <w:rPr>
          <w:sz w:val="24"/>
          <w:szCs w:val="24"/>
        </w:rPr>
        <w:t xml:space="preserve">based </w:t>
      </w:r>
      <w:r w:rsidR="00F55F09" w:rsidRPr="00903BCB">
        <w:rPr>
          <w:sz w:val="24"/>
          <w:szCs w:val="24"/>
        </w:rPr>
        <w:t>d</w:t>
      </w:r>
      <w:r w:rsidR="00EB6789" w:rsidRPr="00903BCB">
        <w:rPr>
          <w:sz w:val="24"/>
          <w:szCs w:val="24"/>
        </w:rPr>
        <w:t xml:space="preserve">irectorates. </w:t>
      </w:r>
      <w:r w:rsidRPr="00903BCB">
        <w:rPr>
          <w:sz w:val="24"/>
          <w:szCs w:val="24"/>
        </w:rPr>
        <w:t>These d</w:t>
      </w:r>
      <w:r w:rsidR="00070DA0" w:rsidRPr="00903BCB">
        <w:rPr>
          <w:sz w:val="24"/>
          <w:szCs w:val="24"/>
        </w:rPr>
        <w:t>e</w:t>
      </w:r>
      <w:r w:rsidRPr="00903BCB">
        <w:rPr>
          <w:sz w:val="24"/>
          <w:szCs w:val="24"/>
        </w:rPr>
        <w:t xml:space="preserve">concentrated units may vary in the authority and responsibility delegated to them by their parent ministries, though overall, the key decisions and implementation responsibilities remain with the ministries’ central administration. </w:t>
      </w:r>
    </w:p>
    <w:p w14:paraId="628131E3" w14:textId="4D08C30A" w:rsidR="00723897" w:rsidRPr="00903BCB" w:rsidRDefault="00723897" w:rsidP="00CC5B9D">
      <w:pPr>
        <w:pStyle w:val="MediumGrid1-Accent21"/>
        <w:spacing w:line="360" w:lineRule="auto"/>
        <w:ind w:left="0" w:right="0"/>
        <w:rPr>
          <w:sz w:val="24"/>
          <w:szCs w:val="24"/>
        </w:rPr>
      </w:pPr>
      <w:r w:rsidRPr="00903BCB">
        <w:rPr>
          <w:sz w:val="24"/>
          <w:szCs w:val="24"/>
        </w:rPr>
        <w:t xml:space="preserve">An </w:t>
      </w:r>
      <w:r w:rsidR="00A13332" w:rsidRPr="00903BCB">
        <w:rPr>
          <w:bCs/>
          <w:sz w:val="24"/>
          <w:szCs w:val="24"/>
        </w:rPr>
        <w:t>e</w:t>
      </w:r>
      <w:r w:rsidRPr="00903BCB">
        <w:rPr>
          <w:bCs/>
          <w:sz w:val="24"/>
          <w:szCs w:val="24"/>
        </w:rPr>
        <w:t xml:space="preserve">xecutive </w:t>
      </w:r>
      <w:r w:rsidR="00A13332" w:rsidRPr="00903BCB">
        <w:rPr>
          <w:bCs/>
          <w:sz w:val="24"/>
          <w:szCs w:val="24"/>
        </w:rPr>
        <w:t>c</w:t>
      </w:r>
      <w:r w:rsidRPr="00903BCB">
        <w:rPr>
          <w:bCs/>
          <w:sz w:val="24"/>
          <w:szCs w:val="24"/>
        </w:rPr>
        <w:t>ouncil</w:t>
      </w:r>
      <w:r w:rsidRPr="00903BCB">
        <w:rPr>
          <w:sz w:val="24"/>
          <w:szCs w:val="24"/>
        </w:rPr>
        <w:t xml:space="preserve">, chaired by the </w:t>
      </w:r>
      <w:r w:rsidR="00F55F09" w:rsidRPr="00903BCB">
        <w:rPr>
          <w:sz w:val="24"/>
          <w:szCs w:val="24"/>
        </w:rPr>
        <w:t>g</w:t>
      </w:r>
      <w:r w:rsidRPr="00903BCB">
        <w:rPr>
          <w:sz w:val="24"/>
          <w:szCs w:val="24"/>
        </w:rPr>
        <w:t xml:space="preserve">overnor, is established in each governorate, </w:t>
      </w:r>
      <w:r w:rsidR="00F55F09" w:rsidRPr="00903BCB">
        <w:rPr>
          <w:sz w:val="24"/>
          <w:szCs w:val="24"/>
        </w:rPr>
        <w:t xml:space="preserve">and is comprised of </w:t>
      </w:r>
      <w:r w:rsidRPr="00903BCB">
        <w:rPr>
          <w:sz w:val="24"/>
          <w:szCs w:val="24"/>
        </w:rPr>
        <w:t xml:space="preserve">the heads of the </w:t>
      </w:r>
      <w:r w:rsidR="00A02B35" w:rsidRPr="00903BCB">
        <w:rPr>
          <w:sz w:val="24"/>
          <w:szCs w:val="24"/>
        </w:rPr>
        <w:t>l</w:t>
      </w:r>
      <w:r w:rsidRPr="00903BCB">
        <w:rPr>
          <w:sz w:val="24"/>
          <w:szCs w:val="24"/>
        </w:rPr>
        <w:t>ine ministries</w:t>
      </w:r>
      <w:r w:rsidR="00F55F09" w:rsidRPr="00903BCB">
        <w:rPr>
          <w:sz w:val="24"/>
          <w:szCs w:val="24"/>
        </w:rPr>
        <w:t>’</w:t>
      </w:r>
      <w:r w:rsidRPr="00903BCB">
        <w:rPr>
          <w:sz w:val="24"/>
          <w:szCs w:val="24"/>
        </w:rPr>
        <w:t xml:space="preserve"> </w:t>
      </w:r>
      <w:r w:rsidR="00F55F09" w:rsidRPr="00903BCB">
        <w:rPr>
          <w:sz w:val="24"/>
          <w:szCs w:val="24"/>
        </w:rPr>
        <w:t>d</w:t>
      </w:r>
      <w:r w:rsidRPr="00903BCB">
        <w:rPr>
          <w:sz w:val="24"/>
          <w:szCs w:val="24"/>
        </w:rPr>
        <w:t xml:space="preserve">irectorates. The </w:t>
      </w:r>
      <w:r w:rsidR="00A13332" w:rsidRPr="00903BCB">
        <w:rPr>
          <w:sz w:val="24"/>
          <w:szCs w:val="24"/>
        </w:rPr>
        <w:t>e</w:t>
      </w:r>
      <w:r w:rsidRPr="00903BCB">
        <w:rPr>
          <w:sz w:val="24"/>
          <w:szCs w:val="24"/>
        </w:rPr>
        <w:t xml:space="preserve">xecutive </w:t>
      </w:r>
      <w:r w:rsidR="00A13332" w:rsidRPr="00903BCB">
        <w:rPr>
          <w:sz w:val="24"/>
          <w:szCs w:val="24"/>
        </w:rPr>
        <w:t>c</w:t>
      </w:r>
      <w:r w:rsidRPr="00903BCB">
        <w:rPr>
          <w:sz w:val="24"/>
          <w:szCs w:val="24"/>
        </w:rPr>
        <w:t xml:space="preserve">ouncil is vested with the tasks of coordinating plans, programs and activities of the line ministries at the governorate level. The </w:t>
      </w:r>
      <w:r w:rsidR="00A13332" w:rsidRPr="00903BCB">
        <w:rPr>
          <w:sz w:val="24"/>
          <w:szCs w:val="24"/>
        </w:rPr>
        <w:t>c</w:t>
      </w:r>
      <w:r w:rsidRPr="00903BCB">
        <w:rPr>
          <w:sz w:val="24"/>
          <w:szCs w:val="24"/>
        </w:rPr>
        <w:t>ouncil has, howeve</w:t>
      </w:r>
      <w:r w:rsidR="001E2A51" w:rsidRPr="00903BCB">
        <w:rPr>
          <w:sz w:val="24"/>
          <w:szCs w:val="24"/>
        </w:rPr>
        <w:t>r, no ex</w:t>
      </w:r>
      <w:r w:rsidR="00AA682D" w:rsidRPr="00903BCB">
        <w:rPr>
          <w:sz w:val="24"/>
          <w:szCs w:val="24"/>
        </w:rPr>
        <w:t xml:space="preserve">ecutive power since most of the </w:t>
      </w:r>
      <w:r w:rsidR="001E2A51" w:rsidRPr="00903BCB">
        <w:rPr>
          <w:sz w:val="24"/>
          <w:szCs w:val="24"/>
        </w:rPr>
        <w:t>important decisions (e.g.,</w:t>
      </w:r>
      <w:r w:rsidRPr="00903BCB">
        <w:rPr>
          <w:sz w:val="24"/>
          <w:szCs w:val="24"/>
        </w:rPr>
        <w:t xml:space="preserve"> plann</w:t>
      </w:r>
      <w:r w:rsidR="001E2A51" w:rsidRPr="00903BCB">
        <w:rPr>
          <w:sz w:val="24"/>
          <w:szCs w:val="24"/>
        </w:rPr>
        <w:t>ing, program</w:t>
      </w:r>
      <w:r w:rsidR="00F33EB9" w:rsidRPr="00903BCB">
        <w:rPr>
          <w:sz w:val="24"/>
          <w:szCs w:val="24"/>
        </w:rPr>
        <w:t xml:space="preserve"> design </w:t>
      </w:r>
      <w:r w:rsidR="001E2A51" w:rsidRPr="00903BCB">
        <w:rPr>
          <w:sz w:val="24"/>
          <w:szCs w:val="24"/>
        </w:rPr>
        <w:t xml:space="preserve">and budgeting) </w:t>
      </w:r>
      <w:r w:rsidR="00AA682D" w:rsidRPr="00903BCB">
        <w:rPr>
          <w:sz w:val="24"/>
          <w:szCs w:val="24"/>
        </w:rPr>
        <w:t>are made</w:t>
      </w:r>
      <w:r w:rsidRPr="00903BCB">
        <w:rPr>
          <w:sz w:val="24"/>
          <w:szCs w:val="24"/>
        </w:rPr>
        <w:t xml:space="preserve"> at the central level.</w:t>
      </w:r>
    </w:p>
    <w:p w14:paraId="1163BA11" w14:textId="77777777" w:rsidR="00723897" w:rsidRPr="00903BCB" w:rsidRDefault="00723897" w:rsidP="00CC5B9D">
      <w:pPr>
        <w:spacing w:line="360" w:lineRule="auto"/>
        <w:ind w:left="0"/>
        <w:rPr>
          <w:sz w:val="24"/>
          <w:szCs w:val="24"/>
        </w:rPr>
      </w:pPr>
    </w:p>
    <w:p w14:paraId="39E5E788" w14:textId="4733D4D2" w:rsidR="00723897" w:rsidRPr="00903BCB" w:rsidRDefault="00A60CD8" w:rsidP="00CC5B9D">
      <w:pPr>
        <w:pStyle w:val="MediumGrid1-Accent21"/>
        <w:spacing w:line="360" w:lineRule="auto"/>
        <w:ind w:left="0" w:right="0"/>
        <w:rPr>
          <w:sz w:val="24"/>
          <w:szCs w:val="24"/>
        </w:rPr>
      </w:pPr>
      <w:r w:rsidRPr="00903BCB">
        <w:rPr>
          <w:sz w:val="24"/>
          <w:szCs w:val="24"/>
        </w:rPr>
        <w:t>E</w:t>
      </w:r>
      <w:r w:rsidR="00723897" w:rsidRPr="00903BCB">
        <w:rPr>
          <w:sz w:val="24"/>
          <w:szCs w:val="24"/>
        </w:rPr>
        <w:t xml:space="preserve">ach </w:t>
      </w:r>
      <w:r w:rsidRPr="00903BCB">
        <w:rPr>
          <w:sz w:val="24"/>
          <w:szCs w:val="24"/>
        </w:rPr>
        <w:t>g</w:t>
      </w:r>
      <w:r w:rsidR="00723897" w:rsidRPr="00903BCB">
        <w:rPr>
          <w:sz w:val="24"/>
          <w:szCs w:val="24"/>
        </w:rPr>
        <w:t xml:space="preserve">overnorate </w:t>
      </w:r>
      <w:r w:rsidRPr="00903BCB">
        <w:rPr>
          <w:sz w:val="24"/>
          <w:szCs w:val="24"/>
        </w:rPr>
        <w:t xml:space="preserve">also </w:t>
      </w:r>
      <w:r w:rsidR="00723897" w:rsidRPr="00903BCB">
        <w:rPr>
          <w:sz w:val="24"/>
          <w:szCs w:val="24"/>
        </w:rPr>
        <w:t xml:space="preserve">has an </w:t>
      </w:r>
      <w:r w:rsidR="00070DA0" w:rsidRPr="00903BCB">
        <w:rPr>
          <w:bCs/>
          <w:sz w:val="24"/>
          <w:szCs w:val="24"/>
        </w:rPr>
        <w:t>a</w:t>
      </w:r>
      <w:r w:rsidR="00723897" w:rsidRPr="00903BCB">
        <w:rPr>
          <w:bCs/>
          <w:sz w:val="24"/>
          <w:szCs w:val="24"/>
        </w:rPr>
        <w:t xml:space="preserve">dvisory </w:t>
      </w:r>
      <w:r w:rsidR="005C7E4A" w:rsidRPr="00903BCB">
        <w:rPr>
          <w:bCs/>
          <w:sz w:val="24"/>
          <w:szCs w:val="24"/>
        </w:rPr>
        <w:t xml:space="preserve">local </w:t>
      </w:r>
      <w:r w:rsidR="00070DA0" w:rsidRPr="00903BCB">
        <w:rPr>
          <w:bCs/>
          <w:sz w:val="24"/>
          <w:szCs w:val="24"/>
        </w:rPr>
        <w:t>c</w:t>
      </w:r>
      <w:r w:rsidR="00723897" w:rsidRPr="00903BCB">
        <w:rPr>
          <w:bCs/>
          <w:sz w:val="24"/>
          <w:szCs w:val="24"/>
        </w:rPr>
        <w:t>ouncil</w:t>
      </w:r>
      <w:r w:rsidR="00723897" w:rsidRPr="00903BCB">
        <w:rPr>
          <w:sz w:val="24"/>
          <w:szCs w:val="24"/>
        </w:rPr>
        <w:t xml:space="preserve"> </w:t>
      </w:r>
      <w:r w:rsidRPr="00903BCB">
        <w:rPr>
          <w:sz w:val="24"/>
          <w:szCs w:val="24"/>
        </w:rPr>
        <w:t>that is chaired by the governor and</w:t>
      </w:r>
      <w:r w:rsidR="00723897" w:rsidRPr="00903BCB">
        <w:rPr>
          <w:sz w:val="24"/>
          <w:szCs w:val="24"/>
        </w:rPr>
        <w:t xml:space="preserve"> is made up of 25 members selected from the following </w:t>
      </w:r>
      <w:r w:rsidR="00504816" w:rsidRPr="00903BCB">
        <w:rPr>
          <w:sz w:val="24"/>
          <w:szCs w:val="24"/>
        </w:rPr>
        <w:t>individuals</w:t>
      </w:r>
      <w:r w:rsidR="00723897" w:rsidRPr="00903BCB">
        <w:rPr>
          <w:sz w:val="24"/>
          <w:szCs w:val="24"/>
        </w:rPr>
        <w:t>: Parliament members from the concerned governorate, mayors of municipalities, private sector org</w:t>
      </w:r>
      <w:r w:rsidR="00EB6789" w:rsidRPr="00903BCB">
        <w:rPr>
          <w:sz w:val="24"/>
          <w:szCs w:val="24"/>
        </w:rPr>
        <w:t xml:space="preserve">anizations, and civil society. </w:t>
      </w:r>
      <w:r w:rsidR="00723897" w:rsidRPr="00903BCB">
        <w:rPr>
          <w:sz w:val="24"/>
          <w:szCs w:val="24"/>
        </w:rPr>
        <w:t xml:space="preserve">The </w:t>
      </w:r>
      <w:r w:rsidR="00070DA0" w:rsidRPr="00903BCB">
        <w:rPr>
          <w:sz w:val="24"/>
          <w:szCs w:val="24"/>
        </w:rPr>
        <w:t>c</w:t>
      </w:r>
      <w:r w:rsidRPr="00903BCB">
        <w:rPr>
          <w:sz w:val="24"/>
          <w:szCs w:val="24"/>
        </w:rPr>
        <w:t>ouncil’s</w:t>
      </w:r>
      <w:r w:rsidR="001E2A51" w:rsidRPr="00903BCB">
        <w:rPr>
          <w:sz w:val="24"/>
          <w:szCs w:val="24"/>
        </w:rPr>
        <w:t xml:space="preserve"> </w:t>
      </w:r>
      <w:r w:rsidR="00723897" w:rsidRPr="00903BCB">
        <w:rPr>
          <w:sz w:val="24"/>
          <w:szCs w:val="24"/>
        </w:rPr>
        <w:t xml:space="preserve">role is limited to raising proposals to the </w:t>
      </w:r>
      <w:r w:rsidR="00070DA0" w:rsidRPr="00903BCB">
        <w:rPr>
          <w:sz w:val="24"/>
          <w:szCs w:val="24"/>
        </w:rPr>
        <w:t>e</w:t>
      </w:r>
      <w:r w:rsidR="00723897" w:rsidRPr="00903BCB">
        <w:rPr>
          <w:sz w:val="24"/>
          <w:szCs w:val="24"/>
        </w:rPr>
        <w:t xml:space="preserve">xecutive </w:t>
      </w:r>
      <w:r w:rsidR="00070DA0" w:rsidRPr="00903BCB">
        <w:rPr>
          <w:sz w:val="24"/>
          <w:szCs w:val="24"/>
        </w:rPr>
        <w:t>c</w:t>
      </w:r>
      <w:r w:rsidR="00723897" w:rsidRPr="00903BCB">
        <w:rPr>
          <w:sz w:val="24"/>
          <w:szCs w:val="24"/>
        </w:rPr>
        <w:t xml:space="preserve">ouncil and the </w:t>
      </w:r>
      <w:r w:rsidRPr="00903BCB">
        <w:rPr>
          <w:sz w:val="24"/>
          <w:szCs w:val="24"/>
        </w:rPr>
        <w:t>g</w:t>
      </w:r>
      <w:r w:rsidR="00723897" w:rsidRPr="00903BCB">
        <w:rPr>
          <w:sz w:val="24"/>
          <w:szCs w:val="24"/>
        </w:rPr>
        <w:t xml:space="preserve">overnor, especially in respect </w:t>
      </w:r>
      <w:r w:rsidRPr="00903BCB">
        <w:rPr>
          <w:sz w:val="24"/>
          <w:szCs w:val="24"/>
        </w:rPr>
        <w:t xml:space="preserve">to </w:t>
      </w:r>
      <w:r w:rsidR="00723897" w:rsidRPr="00903BCB">
        <w:rPr>
          <w:sz w:val="24"/>
          <w:szCs w:val="24"/>
        </w:rPr>
        <w:t>the a</w:t>
      </w:r>
      <w:r w:rsidR="00EB6789" w:rsidRPr="00903BCB">
        <w:rPr>
          <w:sz w:val="24"/>
          <w:szCs w:val="24"/>
        </w:rPr>
        <w:t xml:space="preserve">nnual governorate’s budget(s). </w:t>
      </w:r>
      <w:r w:rsidR="00723897" w:rsidRPr="00903BCB">
        <w:rPr>
          <w:sz w:val="24"/>
          <w:szCs w:val="24"/>
        </w:rPr>
        <w:t xml:space="preserve">The </w:t>
      </w:r>
      <w:r w:rsidR="00070DA0" w:rsidRPr="00903BCB">
        <w:rPr>
          <w:sz w:val="24"/>
          <w:szCs w:val="24"/>
        </w:rPr>
        <w:t>a</w:t>
      </w:r>
      <w:r w:rsidR="00723897" w:rsidRPr="00903BCB">
        <w:rPr>
          <w:sz w:val="24"/>
          <w:szCs w:val="24"/>
        </w:rPr>
        <w:t xml:space="preserve">dvisory </w:t>
      </w:r>
      <w:r w:rsidR="00070DA0" w:rsidRPr="00903BCB">
        <w:rPr>
          <w:sz w:val="24"/>
          <w:szCs w:val="24"/>
        </w:rPr>
        <w:t>c</w:t>
      </w:r>
      <w:r w:rsidR="00723897" w:rsidRPr="00903BCB">
        <w:rPr>
          <w:sz w:val="24"/>
          <w:szCs w:val="24"/>
        </w:rPr>
        <w:t xml:space="preserve">ouncil provides, however, a measure of popular participation in the administration of </w:t>
      </w:r>
      <w:r w:rsidRPr="00903BCB">
        <w:rPr>
          <w:sz w:val="24"/>
          <w:szCs w:val="24"/>
        </w:rPr>
        <w:t>g</w:t>
      </w:r>
      <w:r w:rsidR="00723897" w:rsidRPr="00903BCB">
        <w:rPr>
          <w:sz w:val="24"/>
          <w:szCs w:val="24"/>
        </w:rPr>
        <w:t>overnorate affairs.</w:t>
      </w:r>
    </w:p>
    <w:p w14:paraId="43F01F94" w14:textId="77777777" w:rsidR="00723897" w:rsidRPr="00903BCB" w:rsidRDefault="00723897" w:rsidP="00CC5B9D">
      <w:pPr>
        <w:spacing w:line="360" w:lineRule="auto"/>
        <w:ind w:left="0"/>
        <w:jc w:val="left"/>
        <w:rPr>
          <w:sz w:val="24"/>
          <w:szCs w:val="24"/>
        </w:rPr>
      </w:pPr>
    </w:p>
    <w:p w14:paraId="6DF83C11" w14:textId="77777777" w:rsidR="00723897" w:rsidRPr="00903BCB" w:rsidRDefault="00A60E92" w:rsidP="00CC5B9D">
      <w:pPr>
        <w:spacing w:line="360" w:lineRule="auto"/>
        <w:ind w:left="0"/>
        <w:rPr>
          <w:bCs/>
          <w:i/>
          <w:sz w:val="24"/>
          <w:szCs w:val="24"/>
        </w:rPr>
      </w:pPr>
      <w:r w:rsidRPr="00903BCB">
        <w:rPr>
          <w:bCs/>
          <w:i/>
          <w:sz w:val="24"/>
          <w:szCs w:val="24"/>
        </w:rPr>
        <w:t>2</w:t>
      </w:r>
      <w:r w:rsidR="00723897" w:rsidRPr="00903BCB">
        <w:rPr>
          <w:bCs/>
          <w:i/>
          <w:sz w:val="24"/>
          <w:szCs w:val="24"/>
        </w:rPr>
        <w:t>.2</w:t>
      </w:r>
      <w:r w:rsidRPr="00903BCB">
        <w:rPr>
          <w:bCs/>
          <w:i/>
          <w:sz w:val="24"/>
          <w:szCs w:val="24"/>
        </w:rPr>
        <w:t>.</w:t>
      </w:r>
      <w:r w:rsidR="00B74E30" w:rsidRPr="00903BCB">
        <w:rPr>
          <w:bCs/>
          <w:i/>
          <w:sz w:val="24"/>
          <w:szCs w:val="24"/>
        </w:rPr>
        <w:t xml:space="preserve"> </w:t>
      </w:r>
      <w:r w:rsidR="00723897" w:rsidRPr="00903BCB">
        <w:rPr>
          <w:bCs/>
          <w:i/>
          <w:sz w:val="24"/>
          <w:szCs w:val="24"/>
        </w:rPr>
        <w:t>Municipalities</w:t>
      </w:r>
    </w:p>
    <w:p w14:paraId="1F1085C1" w14:textId="0B749CFE" w:rsidR="00B74B7C" w:rsidRPr="00903BCB" w:rsidRDefault="00B74E30" w:rsidP="00CC5B9D">
      <w:pPr>
        <w:spacing w:line="360" w:lineRule="auto"/>
        <w:ind w:left="0" w:right="0"/>
        <w:rPr>
          <w:sz w:val="24"/>
          <w:szCs w:val="24"/>
        </w:rPr>
      </w:pPr>
      <w:r w:rsidRPr="00903BCB">
        <w:rPr>
          <w:sz w:val="24"/>
          <w:szCs w:val="24"/>
        </w:rPr>
        <w:t>M</w:t>
      </w:r>
      <w:r w:rsidR="00723897" w:rsidRPr="00903BCB">
        <w:rPr>
          <w:sz w:val="24"/>
          <w:szCs w:val="24"/>
        </w:rPr>
        <w:t xml:space="preserve">unicipalities </w:t>
      </w:r>
      <w:r w:rsidR="00504816" w:rsidRPr="00903BCB">
        <w:rPr>
          <w:sz w:val="24"/>
          <w:szCs w:val="24"/>
        </w:rPr>
        <w:t>are</w:t>
      </w:r>
      <w:r w:rsidR="00723897" w:rsidRPr="00903BCB">
        <w:rPr>
          <w:sz w:val="24"/>
          <w:szCs w:val="24"/>
        </w:rPr>
        <w:t xml:space="preserve"> genuine</w:t>
      </w:r>
      <w:r w:rsidR="00A02B35" w:rsidRPr="00903BCB">
        <w:rPr>
          <w:sz w:val="24"/>
          <w:szCs w:val="24"/>
        </w:rPr>
        <w:t>,</w:t>
      </w:r>
      <w:r w:rsidR="00723897" w:rsidRPr="00903BCB">
        <w:rPr>
          <w:sz w:val="24"/>
          <w:szCs w:val="24"/>
        </w:rPr>
        <w:t xml:space="preserve"> decentralized local </w:t>
      </w:r>
      <w:r w:rsidR="00A60CD8" w:rsidRPr="00903BCB">
        <w:rPr>
          <w:sz w:val="24"/>
          <w:szCs w:val="24"/>
        </w:rPr>
        <w:t xml:space="preserve">government </w:t>
      </w:r>
      <w:r w:rsidR="00723897" w:rsidRPr="00903BCB">
        <w:rPr>
          <w:sz w:val="24"/>
          <w:szCs w:val="24"/>
        </w:rPr>
        <w:t>administrations</w:t>
      </w:r>
      <w:r w:rsidR="00504816" w:rsidRPr="00903BCB">
        <w:rPr>
          <w:sz w:val="24"/>
          <w:szCs w:val="24"/>
        </w:rPr>
        <w:t>,</w:t>
      </w:r>
      <w:r w:rsidR="00723897" w:rsidRPr="00903BCB">
        <w:rPr>
          <w:sz w:val="24"/>
          <w:szCs w:val="24"/>
        </w:rPr>
        <w:t xml:space="preserve"> </w:t>
      </w:r>
      <w:r w:rsidR="00504816" w:rsidRPr="00903BCB">
        <w:rPr>
          <w:sz w:val="24"/>
          <w:szCs w:val="24"/>
        </w:rPr>
        <w:t xml:space="preserve">in </w:t>
      </w:r>
      <w:r w:rsidR="00723897" w:rsidRPr="00903BCB">
        <w:rPr>
          <w:sz w:val="24"/>
          <w:szCs w:val="24"/>
        </w:rPr>
        <w:t xml:space="preserve">that they </w:t>
      </w:r>
      <w:r w:rsidR="00504816" w:rsidRPr="00903BCB">
        <w:rPr>
          <w:sz w:val="24"/>
          <w:szCs w:val="24"/>
        </w:rPr>
        <w:t xml:space="preserve">have </w:t>
      </w:r>
      <w:r w:rsidR="00723897" w:rsidRPr="00903BCB">
        <w:rPr>
          <w:sz w:val="24"/>
          <w:szCs w:val="24"/>
        </w:rPr>
        <w:t>policy</w:t>
      </w:r>
      <w:r w:rsidR="00A60CD8" w:rsidRPr="00903BCB">
        <w:rPr>
          <w:sz w:val="24"/>
          <w:szCs w:val="24"/>
        </w:rPr>
        <w:t>-</w:t>
      </w:r>
      <w:r w:rsidR="00723897" w:rsidRPr="00903BCB">
        <w:rPr>
          <w:sz w:val="24"/>
          <w:szCs w:val="24"/>
        </w:rPr>
        <w:t>making, administrative and fiscal autonomy pursuant to the provisions of Law No</w:t>
      </w:r>
      <w:r w:rsidR="00A02B35" w:rsidRPr="00903BCB">
        <w:rPr>
          <w:sz w:val="24"/>
          <w:szCs w:val="24"/>
        </w:rPr>
        <w:t>.</w:t>
      </w:r>
      <w:r w:rsidR="00EB6789" w:rsidRPr="00903BCB">
        <w:rPr>
          <w:sz w:val="24"/>
          <w:szCs w:val="24"/>
        </w:rPr>
        <w:t xml:space="preserve"> 14 (2007). </w:t>
      </w:r>
      <w:r w:rsidR="00723897" w:rsidRPr="00903BCB">
        <w:rPr>
          <w:sz w:val="24"/>
          <w:szCs w:val="24"/>
        </w:rPr>
        <w:t>Indeed, Article 3 asserts that the “municipality is a local institution vested with financial autonomy</w:t>
      </w:r>
      <w:r w:rsidR="00A60CD8" w:rsidRPr="00903BCB">
        <w:rPr>
          <w:sz w:val="24"/>
          <w:szCs w:val="24"/>
        </w:rPr>
        <w:t>,</w:t>
      </w:r>
      <w:r w:rsidR="00723897" w:rsidRPr="00903BCB">
        <w:rPr>
          <w:sz w:val="24"/>
          <w:szCs w:val="24"/>
        </w:rPr>
        <w:t xml:space="preserve">” while legal </w:t>
      </w:r>
      <w:r w:rsidR="006D2986" w:rsidRPr="00903BCB">
        <w:rPr>
          <w:sz w:val="24"/>
          <w:szCs w:val="24"/>
        </w:rPr>
        <w:t>authority</w:t>
      </w:r>
      <w:r w:rsidR="00723897" w:rsidRPr="00903BCB">
        <w:rPr>
          <w:sz w:val="24"/>
          <w:szCs w:val="24"/>
        </w:rPr>
        <w:t xml:space="preserve"> is vested </w:t>
      </w:r>
      <w:r w:rsidR="00B74B7C" w:rsidRPr="00903BCB">
        <w:rPr>
          <w:sz w:val="24"/>
          <w:szCs w:val="24"/>
        </w:rPr>
        <w:t xml:space="preserve">in </w:t>
      </w:r>
      <w:r w:rsidR="00723897" w:rsidRPr="00903BCB">
        <w:rPr>
          <w:sz w:val="24"/>
          <w:szCs w:val="24"/>
        </w:rPr>
        <w:t xml:space="preserve">the </w:t>
      </w:r>
      <w:r w:rsidR="00070DA0" w:rsidRPr="00903BCB">
        <w:rPr>
          <w:sz w:val="24"/>
          <w:szCs w:val="24"/>
        </w:rPr>
        <w:t>m</w:t>
      </w:r>
      <w:r w:rsidR="00723897" w:rsidRPr="00903BCB">
        <w:rPr>
          <w:sz w:val="24"/>
          <w:szCs w:val="24"/>
        </w:rPr>
        <w:t xml:space="preserve">unicipal </w:t>
      </w:r>
      <w:r w:rsidR="00070DA0" w:rsidRPr="00903BCB">
        <w:rPr>
          <w:sz w:val="24"/>
          <w:szCs w:val="24"/>
        </w:rPr>
        <w:t>c</w:t>
      </w:r>
      <w:r w:rsidR="00723897" w:rsidRPr="00903BCB">
        <w:rPr>
          <w:sz w:val="24"/>
          <w:szCs w:val="24"/>
        </w:rPr>
        <w:t>ouncil</w:t>
      </w:r>
      <w:r w:rsidR="00EB6789" w:rsidRPr="00903BCB">
        <w:rPr>
          <w:sz w:val="24"/>
          <w:szCs w:val="24"/>
        </w:rPr>
        <w:t xml:space="preserve">. </w:t>
      </w:r>
    </w:p>
    <w:p w14:paraId="7CA30D5F" w14:textId="77777777" w:rsidR="00B74B7C" w:rsidRPr="00903BCB" w:rsidRDefault="00B74B7C" w:rsidP="00CC5B9D">
      <w:pPr>
        <w:spacing w:line="360" w:lineRule="auto"/>
        <w:ind w:left="0" w:right="0"/>
        <w:rPr>
          <w:sz w:val="24"/>
          <w:szCs w:val="24"/>
        </w:rPr>
      </w:pPr>
    </w:p>
    <w:p w14:paraId="28CD0CF2" w14:textId="6A9EDF11" w:rsidR="00B74B7C" w:rsidRPr="00903BCB" w:rsidRDefault="00B74B7C" w:rsidP="00CC5B9D">
      <w:pPr>
        <w:spacing w:line="360" w:lineRule="auto"/>
        <w:ind w:left="0" w:right="0"/>
        <w:rPr>
          <w:sz w:val="24"/>
          <w:szCs w:val="24"/>
        </w:rPr>
      </w:pPr>
      <w:r w:rsidRPr="00903BCB">
        <w:rPr>
          <w:sz w:val="24"/>
          <w:szCs w:val="24"/>
        </w:rPr>
        <w:t xml:space="preserve">Municipalities are classified into 4 categories depending on their location and population size. </w:t>
      </w:r>
      <w:r w:rsidR="00723897" w:rsidRPr="00903BCB">
        <w:rPr>
          <w:sz w:val="24"/>
          <w:szCs w:val="24"/>
        </w:rPr>
        <w:t>As a result of an amalgamation process started in 2001, the number of mun</w:t>
      </w:r>
      <w:r w:rsidR="00EB6789" w:rsidRPr="00903BCB">
        <w:rPr>
          <w:sz w:val="24"/>
          <w:szCs w:val="24"/>
        </w:rPr>
        <w:t xml:space="preserve">icipalities </w:t>
      </w:r>
      <w:r w:rsidR="00723897" w:rsidRPr="00903BCB">
        <w:rPr>
          <w:sz w:val="24"/>
          <w:szCs w:val="24"/>
        </w:rPr>
        <w:t>in Jordan</w:t>
      </w:r>
      <w:r w:rsidR="00491C76" w:rsidRPr="00903BCB">
        <w:rPr>
          <w:sz w:val="24"/>
          <w:szCs w:val="24"/>
        </w:rPr>
        <w:t xml:space="preserve"> </w:t>
      </w:r>
      <w:r w:rsidR="00A60CD8" w:rsidRPr="00903BCB">
        <w:rPr>
          <w:sz w:val="24"/>
          <w:szCs w:val="24"/>
        </w:rPr>
        <w:t>has decreased</w:t>
      </w:r>
      <w:r w:rsidR="00491C76" w:rsidRPr="00903BCB">
        <w:rPr>
          <w:sz w:val="24"/>
          <w:szCs w:val="24"/>
        </w:rPr>
        <w:t xml:space="preserve"> from 328 to 93</w:t>
      </w:r>
      <w:r w:rsidRPr="00903BCB">
        <w:rPr>
          <w:sz w:val="24"/>
          <w:szCs w:val="24"/>
        </w:rPr>
        <w:t xml:space="preserve"> </w:t>
      </w:r>
      <w:r w:rsidR="00824AD7" w:rsidRPr="00903BCB">
        <w:rPr>
          <w:sz w:val="24"/>
          <w:szCs w:val="24"/>
        </w:rPr>
        <w:t>(see Table 2)</w:t>
      </w:r>
      <w:r w:rsidR="00EB6789" w:rsidRPr="00903BCB">
        <w:rPr>
          <w:sz w:val="24"/>
          <w:szCs w:val="24"/>
        </w:rPr>
        <w:t xml:space="preserve">. </w:t>
      </w:r>
    </w:p>
    <w:p w14:paraId="348B35F8" w14:textId="77777777" w:rsidR="00564055" w:rsidRPr="00903BCB" w:rsidRDefault="00564055" w:rsidP="00CC5B9D">
      <w:pPr>
        <w:spacing w:line="360" w:lineRule="auto"/>
        <w:ind w:left="0" w:right="0"/>
        <w:rPr>
          <w:sz w:val="24"/>
          <w:szCs w:val="24"/>
        </w:rPr>
      </w:pPr>
    </w:p>
    <w:p w14:paraId="6404B075" w14:textId="77777777" w:rsidR="00B74B7C" w:rsidRPr="00903BCB" w:rsidRDefault="00B74B7C" w:rsidP="00B74B7C">
      <w:pPr>
        <w:spacing w:line="360" w:lineRule="auto"/>
        <w:ind w:left="1440" w:right="0" w:firstLine="720"/>
        <w:rPr>
          <w:sz w:val="24"/>
          <w:szCs w:val="24"/>
        </w:rPr>
      </w:pPr>
      <w:r w:rsidRPr="00903BCB">
        <w:rPr>
          <w:sz w:val="24"/>
          <w:szCs w:val="24"/>
        </w:rPr>
        <w:t>Table 2: Number of Municipalities by Governorate</w:t>
      </w:r>
    </w:p>
    <w:tbl>
      <w:tblPr>
        <w:tblW w:w="2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16"/>
        <w:gridCol w:w="1603"/>
        <w:gridCol w:w="1257"/>
      </w:tblGrid>
      <w:tr w:rsidR="00B74B7C" w:rsidRPr="00903BCB" w14:paraId="546BA7FF" w14:textId="77777777" w:rsidTr="00B74B7C">
        <w:trPr>
          <w:jc w:val="center"/>
        </w:trPr>
        <w:tc>
          <w:tcPr>
            <w:tcW w:w="872" w:type="pct"/>
            <w:shd w:val="clear" w:color="auto" w:fill="auto"/>
            <w:noWrap/>
            <w:vAlign w:val="center"/>
            <w:hideMark/>
          </w:tcPr>
          <w:p w14:paraId="22F25DCF" w14:textId="77777777" w:rsidR="00B74B7C" w:rsidRPr="00903BCB" w:rsidRDefault="00B74B7C" w:rsidP="00B74B7C">
            <w:pPr>
              <w:ind w:left="0" w:right="0"/>
              <w:jc w:val="center"/>
              <w:rPr>
                <w:bCs/>
                <w:sz w:val="24"/>
                <w:szCs w:val="24"/>
              </w:rPr>
            </w:pPr>
            <w:r w:rsidRPr="00903BCB">
              <w:rPr>
                <w:bCs/>
                <w:sz w:val="24"/>
                <w:szCs w:val="24"/>
              </w:rPr>
              <w:t>Region</w:t>
            </w:r>
          </w:p>
        </w:tc>
        <w:tc>
          <w:tcPr>
            <w:tcW w:w="1345" w:type="pct"/>
            <w:shd w:val="clear" w:color="auto" w:fill="auto"/>
            <w:vAlign w:val="center"/>
            <w:hideMark/>
          </w:tcPr>
          <w:p w14:paraId="470597DB" w14:textId="77777777" w:rsidR="00B74B7C" w:rsidRPr="00903BCB" w:rsidRDefault="00B74B7C" w:rsidP="00B74B7C">
            <w:pPr>
              <w:ind w:left="0" w:right="0"/>
              <w:jc w:val="center"/>
              <w:rPr>
                <w:bCs/>
                <w:sz w:val="24"/>
                <w:szCs w:val="24"/>
              </w:rPr>
            </w:pPr>
            <w:r w:rsidRPr="00903BCB">
              <w:rPr>
                <w:bCs/>
                <w:sz w:val="24"/>
                <w:szCs w:val="24"/>
              </w:rPr>
              <w:t>Governorate</w:t>
            </w:r>
          </w:p>
        </w:tc>
        <w:tc>
          <w:tcPr>
            <w:tcW w:w="1392" w:type="pct"/>
            <w:shd w:val="clear" w:color="auto" w:fill="auto"/>
            <w:vAlign w:val="center"/>
            <w:hideMark/>
          </w:tcPr>
          <w:p w14:paraId="3C9F753D" w14:textId="77777777" w:rsidR="00B74B7C" w:rsidRPr="00903BCB" w:rsidRDefault="00B74B7C" w:rsidP="00B74B7C">
            <w:pPr>
              <w:ind w:left="0" w:right="0"/>
              <w:jc w:val="center"/>
              <w:rPr>
                <w:bCs/>
                <w:sz w:val="24"/>
                <w:szCs w:val="24"/>
              </w:rPr>
            </w:pPr>
            <w:r w:rsidRPr="00903BCB">
              <w:rPr>
                <w:bCs/>
                <w:sz w:val="24"/>
                <w:szCs w:val="24"/>
              </w:rPr>
              <w:t>Num. of Municipalities</w:t>
            </w:r>
          </w:p>
        </w:tc>
        <w:tc>
          <w:tcPr>
            <w:tcW w:w="1391" w:type="pct"/>
          </w:tcPr>
          <w:p w14:paraId="4C618657" w14:textId="77777777" w:rsidR="00B74B7C" w:rsidRPr="00903BCB" w:rsidRDefault="00B74B7C" w:rsidP="00B74B7C">
            <w:pPr>
              <w:ind w:left="0" w:right="0"/>
              <w:jc w:val="center"/>
              <w:rPr>
                <w:bCs/>
                <w:sz w:val="24"/>
                <w:szCs w:val="24"/>
              </w:rPr>
            </w:pPr>
            <w:r w:rsidRPr="00903BCB">
              <w:rPr>
                <w:bCs/>
                <w:sz w:val="24"/>
                <w:szCs w:val="24"/>
              </w:rPr>
              <w:t>% Urban Population</w:t>
            </w:r>
          </w:p>
        </w:tc>
      </w:tr>
      <w:tr w:rsidR="00B74B7C" w:rsidRPr="00903BCB" w14:paraId="717CDE40" w14:textId="77777777" w:rsidTr="00B74B7C">
        <w:trPr>
          <w:jc w:val="center"/>
        </w:trPr>
        <w:tc>
          <w:tcPr>
            <w:tcW w:w="872" w:type="pct"/>
            <w:noWrap/>
            <w:vAlign w:val="center"/>
            <w:hideMark/>
          </w:tcPr>
          <w:p w14:paraId="4118CD29" w14:textId="77777777" w:rsidR="00B74B7C" w:rsidRPr="00903BCB" w:rsidRDefault="00B74B7C" w:rsidP="00B74B7C">
            <w:pPr>
              <w:ind w:left="0" w:right="0"/>
              <w:jc w:val="left"/>
              <w:rPr>
                <w:sz w:val="24"/>
                <w:szCs w:val="24"/>
              </w:rPr>
            </w:pPr>
            <w:r w:rsidRPr="00903BCB">
              <w:rPr>
                <w:sz w:val="24"/>
                <w:szCs w:val="24"/>
              </w:rPr>
              <w:t>North</w:t>
            </w:r>
          </w:p>
        </w:tc>
        <w:tc>
          <w:tcPr>
            <w:tcW w:w="1345" w:type="pct"/>
            <w:noWrap/>
            <w:vAlign w:val="center"/>
            <w:hideMark/>
          </w:tcPr>
          <w:p w14:paraId="6F836A78" w14:textId="77777777" w:rsidR="00B74B7C" w:rsidRPr="00903BCB" w:rsidRDefault="00B74B7C" w:rsidP="00B74B7C">
            <w:pPr>
              <w:ind w:left="0" w:right="0"/>
              <w:jc w:val="left"/>
              <w:rPr>
                <w:sz w:val="24"/>
                <w:szCs w:val="24"/>
              </w:rPr>
            </w:pPr>
            <w:r w:rsidRPr="00903BCB">
              <w:rPr>
                <w:sz w:val="24"/>
                <w:szCs w:val="24"/>
              </w:rPr>
              <w:t>Irbid</w:t>
            </w:r>
          </w:p>
        </w:tc>
        <w:tc>
          <w:tcPr>
            <w:tcW w:w="1392" w:type="pct"/>
            <w:noWrap/>
            <w:vAlign w:val="center"/>
            <w:hideMark/>
          </w:tcPr>
          <w:p w14:paraId="1F986FDD" w14:textId="77777777" w:rsidR="00B74B7C" w:rsidRPr="00903BCB" w:rsidRDefault="00B74B7C" w:rsidP="00B74B7C">
            <w:pPr>
              <w:ind w:left="0" w:right="0"/>
              <w:jc w:val="right"/>
              <w:rPr>
                <w:sz w:val="24"/>
                <w:szCs w:val="24"/>
              </w:rPr>
            </w:pPr>
            <w:r w:rsidRPr="00903BCB">
              <w:rPr>
                <w:sz w:val="24"/>
                <w:szCs w:val="24"/>
              </w:rPr>
              <w:t>18</w:t>
            </w:r>
          </w:p>
        </w:tc>
        <w:tc>
          <w:tcPr>
            <w:tcW w:w="1391" w:type="pct"/>
            <w:vAlign w:val="bottom"/>
          </w:tcPr>
          <w:p w14:paraId="360824E9" w14:textId="77777777" w:rsidR="00B74B7C" w:rsidRPr="00903BCB" w:rsidRDefault="00B74B7C" w:rsidP="00B74B7C">
            <w:pPr>
              <w:ind w:left="0" w:right="0"/>
              <w:jc w:val="right"/>
              <w:rPr>
                <w:sz w:val="24"/>
                <w:szCs w:val="24"/>
              </w:rPr>
            </w:pPr>
            <w:r w:rsidRPr="00903BCB">
              <w:rPr>
                <w:rFonts w:eastAsia="Times New Roman"/>
                <w:sz w:val="24"/>
                <w:szCs w:val="24"/>
              </w:rPr>
              <w:t>82.9%</w:t>
            </w:r>
          </w:p>
        </w:tc>
      </w:tr>
      <w:tr w:rsidR="00B74B7C" w:rsidRPr="00903BCB" w14:paraId="0741DFCE" w14:textId="77777777" w:rsidTr="00B74B7C">
        <w:trPr>
          <w:jc w:val="center"/>
        </w:trPr>
        <w:tc>
          <w:tcPr>
            <w:tcW w:w="872" w:type="pct"/>
            <w:noWrap/>
            <w:vAlign w:val="center"/>
            <w:hideMark/>
          </w:tcPr>
          <w:p w14:paraId="5E6734C2" w14:textId="77777777" w:rsidR="00B74B7C" w:rsidRPr="00903BCB" w:rsidRDefault="00B74B7C" w:rsidP="00B74B7C">
            <w:pPr>
              <w:ind w:left="0" w:right="0"/>
              <w:jc w:val="left"/>
              <w:rPr>
                <w:sz w:val="24"/>
                <w:szCs w:val="24"/>
              </w:rPr>
            </w:pPr>
          </w:p>
        </w:tc>
        <w:tc>
          <w:tcPr>
            <w:tcW w:w="1345" w:type="pct"/>
            <w:noWrap/>
            <w:vAlign w:val="center"/>
            <w:hideMark/>
          </w:tcPr>
          <w:p w14:paraId="385FEBE4" w14:textId="77777777" w:rsidR="00B74B7C" w:rsidRPr="00903BCB" w:rsidRDefault="00B74B7C" w:rsidP="00B74B7C">
            <w:pPr>
              <w:ind w:left="0" w:right="0"/>
              <w:jc w:val="left"/>
              <w:rPr>
                <w:sz w:val="24"/>
                <w:szCs w:val="24"/>
              </w:rPr>
            </w:pPr>
            <w:r w:rsidRPr="00903BCB">
              <w:rPr>
                <w:sz w:val="24"/>
                <w:szCs w:val="24"/>
              </w:rPr>
              <w:t>Mafraq</w:t>
            </w:r>
          </w:p>
        </w:tc>
        <w:tc>
          <w:tcPr>
            <w:tcW w:w="1392" w:type="pct"/>
            <w:noWrap/>
            <w:vAlign w:val="center"/>
            <w:hideMark/>
          </w:tcPr>
          <w:p w14:paraId="52E95581" w14:textId="77777777" w:rsidR="00B74B7C" w:rsidRPr="00903BCB" w:rsidRDefault="00B74B7C" w:rsidP="00B74B7C">
            <w:pPr>
              <w:ind w:left="0" w:right="0"/>
              <w:jc w:val="right"/>
              <w:rPr>
                <w:sz w:val="24"/>
                <w:szCs w:val="24"/>
              </w:rPr>
            </w:pPr>
            <w:r w:rsidRPr="00903BCB">
              <w:rPr>
                <w:sz w:val="24"/>
                <w:szCs w:val="24"/>
              </w:rPr>
              <w:t>18</w:t>
            </w:r>
          </w:p>
        </w:tc>
        <w:tc>
          <w:tcPr>
            <w:tcW w:w="1391" w:type="pct"/>
            <w:vAlign w:val="bottom"/>
          </w:tcPr>
          <w:p w14:paraId="5C82213C" w14:textId="77777777" w:rsidR="00B74B7C" w:rsidRPr="00903BCB" w:rsidRDefault="00B74B7C" w:rsidP="00B74B7C">
            <w:pPr>
              <w:ind w:left="0" w:right="0"/>
              <w:jc w:val="right"/>
              <w:rPr>
                <w:sz w:val="24"/>
                <w:szCs w:val="24"/>
              </w:rPr>
            </w:pPr>
            <w:r w:rsidRPr="00903BCB">
              <w:rPr>
                <w:rFonts w:eastAsia="Times New Roman"/>
                <w:sz w:val="24"/>
                <w:szCs w:val="24"/>
              </w:rPr>
              <w:t>39.2%</w:t>
            </w:r>
          </w:p>
        </w:tc>
      </w:tr>
      <w:tr w:rsidR="00B74B7C" w:rsidRPr="00903BCB" w14:paraId="7AC474F7" w14:textId="77777777" w:rsidTr="00B74B7C">
        <w:trPr>
          <w:jc w:val="center"/>
        </w:trPr>
        <w:tc>
          <w:tcPr>
            <w:tcW w:w="872" w:type="pct"/>
            <w:noWrap/>
            <w:vAlign w:val="center"/>
            <w:hideMark/>
          </w:tcPr>
          <w:p w14:paraId="05338F9F" w14:textId="77777777" w:rsidR="00B74B7C" w:rsidRPr="00903BCB" w:rsidRDefault="00B74B7C" w:rsidP="00B74B7C">
            <w:pPr>
              <w:ind w:left="0" w:right="0"/>
              <w:jc w:val="left"/>
              <w:rPr>
                <w:sz w:val="24"/>
                <w:szCs w:val="24"/>
              </w:rPr>
            </w:pPr>
          </w:p>
        </w:tc>
        <w:tc>
          <w:tcPr>
            <w:tcW w:w="1345" w:type="pct"/>
            <w:noWrap/>
            <w:vAlign w:val="center"/>
            <w:hideMark/>
          </w:tcPr>
          <w:p w14:paraId="26197991" w14:textId="77777777" w:rsidR="00B74B7C" w:rsidRPr="00903BCB" w:rsidRDefault="00B74B7C" w:rsidP="00B74B7C">
            <w:pPr>
              <w:ind w:left="0" w:right="0"/>
              <w:jc w:val="left"/>
              <w:rPr>
                <w:sz w:val="24"/>
                <w:szCs w:val="24"/>
              </w:rPr>
            </w:pPr>
            <w:r w:rsidRPr="00903BCB">
              <w:rPr>
                <w:sz w:val="24"/>
                <w:szCs w:val="24"/>
              </w:rPr>
              <w:t>Jarash</w:t>
            </w:r>
          </w:p>
        </w:tc>
        <w:tc>
          <w:tcPr>
            <w:tcW w:w="1392" w:type="pct"/>
            <w:noWrap/>
            <w:vAlign w:val="center"/>
            <w:hideMark/>
          </w:tcPr>
          <w:p w14:paraId="3A5968FF" w14:textId="77777777" w:rsidR="00B74B7C" w:rsidRPr="00903BCB" w:rsidRDefault="00B74B7C" w:rsidP="00B74B7C">
            <w:pPr>
              <w:ind w:left="0" w:right="0"/>
              <w:jc w:val="right"/>
              <w:rPr>
                <w:sz w:val="24"/>
                <w:szCs w:val="24"/>
              </w:rPr>
            </w:pPr>
            <w:r w:rsidRPr="00903BCB">
              <w:rPr>
                <w:sz w:val="24"/>
                <w:szCs w:val="24"/>
              </w:rPr>
              <w:t>5</w:t>
            </w:r>
          </w:p>
        </w:tc>
        <w:tc>
          <w:tcPr>
            <w:tcW w:w="1391" w:type="pct"/>
            <w:vAlign w:val="bottom"/>
          </w:tcPr>
          <w:p w14:paraId="131DD6C1" w14:textId="77777777" w:rsidR="00B74B7C" w:rsidRPr="00903BCB" w:rsidRDefault="00B74B7C" w:rsidP="00B74B7C">
            <w:pPr>
              <w:ind w:left="0" w:right="0"/>
              <w:jc w:val="right"/>
              <w:rPr>
                <w:sz w:val="24"/>
                <w:szCs w:val="24"/>
              </w:rPr>
            </w:pPr>
            <w:r w:rsidRPr="00903BCB">
              <w:rPr>
                <w:rFonts w:eastAsia="Times New Roman"/>
                <w:sz w:val="24"/>
                <w:szCs w:val="24"/>
              </w:rPr>
              <w:t>62.6%</w:t>
            </w:r>
          </w:p>
        </w:tc>
      </w:tr>
      <w:tr w:rsidR="00B74B7C" w:rsidRPr="00903BCB" w14:paraId="70BDA903" w14:textId="77777777" w:rsidTr="00B74B7C">
        <w:trPr>
          <w:jc w:val="center"/>
        </w:trPr>
        <w:tc>
          <w:tcPr>
            <w:tcW w:w="872" w:type="pct"/>
            <w:noWrap/>
            <w:vAlign w:val="center"/>
            <w:hideMark/>
          </w:tcPr>
          <w:p w14:paraId="5DC8132D" w14:textId="77777777" w:rsidR="00B74B7C" w:rsidRPr="00903BCB" w:rsidRDefault="00B74B7C" w:rsidP="00B74B7C">
            <w:pPr>
              <w:ind w:left="0" w:right="0"/>
              <w:jc w:val="left"/>
              <w:rPr>
                <w:sz w:val="24"/>
                <w:szCs w:val="24"/>
              </w:rPr>
            </w:pPr>
          </w:p>
        </w:tc>
        <w:tc>
          <w:tcPr>
            <w:tcW w:w="1345" w:type="pct"/>
            <w:noWrap/>
            <w:vAlign w:val="center"/>
            <w:hideMark/>
          </w:tcPr>
          <w:p w14:paraId="5F949178" w14:textId="77777777" w:rsidR="00B74B7C" w:rsidRPr="00903BCB" w:rsidRDefault="00B74B7C" w:rsidP="00B74B7C">
            <w:pPr>
              <w:ind w:left="0" w:right="0"/>
              <w:jc w:val="left"/>
              <w:rPr>
                <w:sz w:val="24"/>
                <w:szCs w:val="24"/>
              </w:rPr>
            </w:pPr>
            <w:r w:rsidRPr="00903BCB">
              <w:rPr>
                <w:sz w:val="24"/>
                <w:szCs w:val="24"/>
              </w:rPr>
              <w:t>Ajloun</w:t>
            </w:r>
          </w:p>
        </w:tc>
        <w:tc>
          <w:tcPr>
            <w:tcW w:w="1392" w:type="pct"/>
            <w:noWrap/>
            <w:vAlign w:val="center"/>
            <w:hideMark/>
          </w:tcPr>
          <w:p w14:paraId="619D868D" w14:textId="77777777" w:rsidR="00B74B7C" w:rsidRPr="00903BCB" w:rsidRDefault="00B74B7C" w:rsidP="00B74B7C">
            <w:pPr>
              <w:ind w:left="0" w:right="0"/>
              <w:jc w:val="right"/>
              <w:rPr>
                <w:sz w:val="24"/>
                <w:szCs w:val="24"/>
              </w:rPr>
            </w:pPr>
            <w:r w:rsidRPr="00903BCB">
              <w:rPr>
                <w:sz w:val="24"/>
                <w:szCs w:val="24"/>
              </w:rPr>
              <w:t>5</w:t>
            </w:r>
          </w:p>
        </w:tc>
        <w:tc>
          <w:tcPr>
            <w:tcW w:w="1391" w:type="pct"/>
            <w:vAlign w:val="bottom"/>
          </w:tcPr>
          <w:p w14:paraId="733FC6E1" w14:textId="77777777" w:rsidR="00B74B7C" w:rsidRPr="00903BCB" w:rsidRDefault="00B74B7C" w:rsidP="00B74B7C">
            <w:pPr>
              <w:ind w:left="0" w:right="0"/>
              <w:jc w:val="right"/>
              <w:rPr>
                <w:sz w:val="24"/>
                <w:szCs w:val="24"/>
              </w:rPr>
            </w:pPr>
            <w:r w:rsidRPr="00903BCB">
              <w:rPr>
                <w:rFonts w:eastAsia="Times New Roman"/>
                <w:sz w:val="24"/>
                <w:szCs w:val="24"/>
              </w:rPr>
              <w:t>75.9%</w:t>
            </w:r>
          </w:p>
        </w:tc>
      </w:tr>
      <w:tr w:rsidR="00B74B7C" w:rsidRPr="00903BCB" w14:paraId="1946987D" w14:textId="77777777" w:rsidTr="00B74B7C">
        <w:trPr>
          <w:jc w:val="center"/>
        </w:trPr>
        <w:tc>
          <w:tcPr>
            <w:tcW w:w="872" w:type="pct"/>
            <w:noWrap/>
            <w:vAlign w:val="center"/>
            <w:hideMark/>
          </w:tcPr>
          <w:p w14:paraId="3709BAEC" w14:textId="77777777" w:rsidR="00B74B7C" w:rsidRPr="00903BCB" w:rsidRDefault="00B74B7C" w:rsidP="00B74B7C">
            <w:pPr>
              <w:ind w:left="0" w:right="0"/>
              <w:jc w:val="left"/>
              <w:rPr>
                <w:sz w:val="24"/>
                <w:szCs w:val="24"/>
              </w:rPr>
            </w:pPr>
            <w:r w:rsidRPr="00903BCB">
              <w:rPr>
                <w:sz w:val="24"/>
                <w:szCs w:val="24"/>
              </w:rPr>
              <w:t>Middle</w:t>
            </w:r>
          </w:p>
        </w:tc>
        <w:tc>
          <w:tcPr>
            <w:tcW w:w="1345" w:type="pct"/>
            <w:noWrap/>
            <w:vAlign w:val="center"/>
            <w:hideMark/>
          </w:tcPr>
          <w:p w14:paraId="0B54B9B1" w14:textId="77777777" w:rsidR="00B74B7C" w:rsidRPr="00903BCB" w:rsidRDefault="00B74B7C" w:rsidP="00B74B7C">
            <w:pPr>
              <w:ind w:left="0" w:right="0"/>
              <w:jc w:val="left"/>
              <w:rPr>
                <w:sz w:val="24"/>
                <w:szCs w:val="24"/>
              </w:rPr>
            </w:pPr>
            <w:r w:rsidRPr="00903BCB">
              <w:rPr>
                <w:sz w:val="24"/>
                <w:szCs w:val="24"/>
              </w:rPr>
              <w:t>Amman</w:t>
            </w:r>
          </w:p>
        </w:tc>
        <w:tc>
          <w:tcPr>
            <w:tcW w:w="1392" w:type="pct"/>
            <w:noWrap/>
            <w:vAlign w:val="center"/>
            <w:hideMark/>
          </w:tcPr>
          <w:p w14:paraId="4C64797E" w14:textId="77777777" w:rsidR="00B74B7C" w:rsidRPr="00903BCB" w:rsidRDefault="00B74B7C" w:rsidP="00B74B7C">
            <w:pPr>
              <w:ind w:left="0" w:right="0"/>
              <w:jc w:val="right"/>
              <w:rPr>
                <w:sz w:val="24"/>
                <w:szCs w:val="24"/>
              </w:rPr>
            </w:pPr>
            <w:r w:rsidRPr="00903BCB">
              <w:rPr>
                <w:sz w:val="24"/>
                <w:szCs w:val="24"/>
              </w:rPr>
              <w:t>2</w:t>
            </w:r>
          </w:p>
        </w:tc>
        <w:tc>
          <w:tcPr>
            <w:tcW w:w="1391" w:type="pct"/>
            <w:vAlign w:val="bottom"/>
          </w:tcPr>
          <w:p w14:paraId="4595A779" w14:textId="77777777" w:rsidR="00B74B7C" w:rsidRPr="00903BCB" w:rsidRDefault="00B74B7C" w:rsidP="00B74B7C">
            <w:pPr>
              <w:ind w:left="0" w:right="0"/>
              <w:jc w:val="right"/>
              <w:rPr>
                <w:sz w:val="24"/>
                <w:szCs w:val="24"/>
              </w:rPr>
            </w:pPr>
            <w:r w:rsidRPr="00903BCB">
              <w:rPr>
                <w:rFonts w:eastAsia="Times New Roman"/>
                <w:sz w:val="24"/>
                <w:szCs w:val="24"/>
              </w:rPr>
              <w:t>94.0%</w:t>
            </w:r>
          </w:p>
        </w:tc>
      </w:tr>
      <w:tr w:rsidR="00B74B7C" w:rsidRPr="00903BCB" w14:paraId="4CA1249B" w14:textId="77777777" w:rsidTr="00B74B7C">
        <w:trPr>
          <w:jc w:val="center"/>
        </w:trPr>
        <w:tc>
          <w:tcPr>
            <w:tcW w:w="872" w:type="pct"/>
            <w:noWrap/>
            <w:vAlign w:val="center"/>
            <w:hideMark/>
          </w:tcPr>
          <w:p w14:paraId="4454AA7C" w14:textId="77777777" w:rsidR="00B74B7C" w:rsidRPr="00903BCB" w:rsidRDefault="00B74B7C" w:rsidP="00B74B7C">
            <w:pPr>
              <w:ind w:left="0" w:right="0"/>
              <w:jc w:val="left"/>
              <w:rPr>
                <w:sz w:val="24"/>
                <w:szCs w:val="24"/>
              </w:rPr>
            </w:pPr>
          </w:p>
        </w:tc>
        <w:tc>
          <w:tcPr>
            <w:tcW w:w="1345" w:type="pct"/>
            <w:noWrap/>
            <w:vAlign w:val="center"/>
            <w:hideMark/>
          </w:tcPr>
          <w:p w14:paraId="7F1D1DED" w14:textId="77777777" w:rsidR="00B74B7C" w:rsidRPr="00903BCB" w:rsidRDefault="00B74B7C" w:rsidP="00B74B7C">
            <w:pPr>
              <w:ind w:left="0" w:right="0"/>
              <w:jc w:val="left"/>
              <w:rPr>
                <w:sz w:val="24"/>
                <w:szCs w:val="24"/>
              </w:rPr>
            </w:pPr>
            <w:r w:rsidRPr="00903BCB">
              <w:rPr>
                <w:sz w:val="24"/>
                <w:szCs w:val="24"/>
              </w:rPr>
              <w:t>Balqa</w:t>
            </w:r>
          </w:p>
        </w:tc>
        <w:tc>
          <w:tcPr>
            <w:tcW w:w="1392" w:type="pct"/>
            <w:noWrap/>
            <w:vAlign w:val="center"/>
            <w:hideMark/>
          </w:tcPr>
          <w:p w14:paraId="1B1206DC" w14:textId="77777777" w:rsidR="00B74B7C" w:rsidRPr="00903BCB" w:rsidRDefault="00B74B7C" w:rsidP="00B74B7C">
            <w:pPr>
              <w:ind w:left="0" w:right="0"/>
              <w:jc w:val="right"/>
              <w:rPr>
                <w:sz w:val="24"/>
                <w:szCs w:val="24"/>
              </w:rPr>
            </w:pPr>
            <w:r w:rsidRPr="00903BCB">
              <w:rPr>
                <w:sz w:val="24"/>
                <w:szCs w:val="24"/>
              </w:rPr>
              <w:t>9</w:t>
            </w:r>
          </w:p>
        </w:tc>
        <w:tc>
          <w:tcPr>
            <w:tcW w:w="1391" w:type="pct"/>
            <w:vAlign w:val="bottom"/>
          </w:tcPr>
          <w:p w14:paraId="1D9DDFD8" w14:textId="77777777" w:rsidR="00B74B7C" w:rsidRPr="00903BCB" w:rsidRDefault="00B74B7C" w:rsidP="00B74B7C">
            <w:pPr>
              <w:ind w:left="0" w:right="0"/>
              <w:jc w:val="right"/>
              <w:rPr>
                <w:sz w:val="24"/>
                <w:szCs w:val="24"/>
              </w:rPr>
            </w:pPr>
            <w:r w:rsidRPr="00903BCB">
              <w:rPr>
                <w:rFonts w:eastAsia="Times New Roman"/>
                <w:sz w:val="24"/>
                <w:szCs w:val="24"/>
              </w:rPr>
              <w:t>71.8%</w:t>
            </w:r>
          </w:p>
        </w:tc>
      </w:tr>
      <w:tr w:rsidR="00B74B7C" w:rsidRPr="00903BCB" w14:paraId="63D6B07D" w14:textId="77777777" w:rsidTr="00B74B7C">
        <w:trPr>
          <w:jc w:val="center"/>
        </w:trPr>
        <w:tc>
          <w:tcPr>
            <w:tcW w:w="872" w:type="pct"/>
            <w:noWrap/>
            <w:vAlign w:val="center"/>
            <w:hideMark/>
          </w:tcPr>
          <w:p w14:paraId="5D061E8E" w14:textId="77777777" w:rsidR="00B74B7C" w:rsidRPr="00903BCB" w:rsidRDefault="00B74B7C" w:rsidP="00B74B7C">
            <w:pPr>
              <w:ind w:left="0" w:right="0"/>
              <w:jc w:val="left"/>
              <w:rPr>
                <w:sz w:val="24"/>
                <w:szCs w:val="24"/>
              </w:rPr>
            </w:pPr>
          </w:p>
        </w:tc>
        <w:tc>
          <w:tcPr>
            <w:tcW w:w="1345" w:type="pct"/>
            <w:noWrap/>
            <w:vAlign w:val="center"/>
            <w:hideMark/>
          </w:tcPr>
          <w:p w14:paraId="4ECF1C08" w14:textId="77777777" w:rsidR="00B74B7C" w:rsidRPr="00903BCB" w:rsidRDefault="00B74B7C" w:rsidP="00B74B7C">
            <w:pPr>
              <w:ind w:left="0" w:right="0"/>
              <w:jc w:val="left"/>
              <w:rPr>
                <w:sz w:val="24"/>
                <w:szCs w:val="24"/>
              </w:rPr>
            </w:pPr>
            <w:r w:rsidRPr="00903BCB">
              <w:rPr>
                <w:sz w:val="24"/>
                <w:szCs w:val="24"/>
              </w:rPr>
              <w:t>Zarqa</w:t>
            </w:r>
          </w:p>
        </w:tc>
        <w:tc>
          <w:tcPr>
            <w:tcW w:w="1392" w:type="pct"/>
            <w:noWrap/>
            <w:vAlign w:val="center"/>
            <w:hideMark/>
          </w:tcPr>
          <w:p w14:paraId="7A732EB4" w14:textId="77777777" w:rsidR="00B74B7C" w:rsidRPr="00903BCB" w:rsidRDefault="00B74B7C" w:rsidP="00B74B7C">
            <w:pPr>
              <w:ind w:left="0" w:right="0"/>
              <w:jc w:val="right"/>
              <w:rPr>
                <w:sz w:val="24"/>
                <w:szCs w:val="24"/>
              </w:rPr>
            </w:pPr>
            <w:r w:rsidRPr="00903BCB">
              <w:rPr>
                <w:sz w:val="24"/>
                <w:szCs w:val="24"/>
              </w:rPr>
              <w:t>7</w:t>
            </w:r>
          </w:p>
        </w:tc>
        <w:tc>
          <w:tcPr>
            <w:tcW w:w="1391" w:type="pct"/>
            <w:vAlign w:val="bottom"/>
          </w:tcPr>
          <w:p w14:paraId="2FD39A64" w14:textId="77777777" w:rsidR="00B74B7C" w:rsidRPr="00903BCB" w:rsidRDefault="00B74B7C" w:rsidP="00B74B7C">
            <w:pPr>
              <w:ind w:left="0" w:right="0"/>
              <w:jc w:val="right"/>
              <w:rPr>
                <w:sz w:val="24"/>
                <w:szCs w:val="24"/>
              </w:rPr>
            </w:pPr>
            <w:r w:rsidRPr="00903BCB">
              <w:rPr>
                <w:rFonts w:eastAsia="Times New Roman"/>
                <w:sz w:val="24"/>
                <w:szCs w:val="24"/>
              </w:rPr>
              <w:t>94.5%</w:t>
            </w:r>
          </w:p>
        </w:tc>
      </w:tr>
      <w:tr w:rsidR="00B74B7C" w:rsidRPr="00903BCB" w14:paraId="20324262" w14:textId="77777777" w:rsidTr="00B74B7C">
        <w:trPr>
          <w:jc w:val="center"/>
        </w:trPr>
        <w:tc>
          <w:tcPr>
            <w:tcW w:w="872" w:type="pct"/>
            <w:noWrap/>
            <w:vAlign w:val="center"/>
            <w:hideMark/>
          </w:tcPr>
          <w:p w14:paraId="3E3D9429" w14:textId="77777777" w:rsidR="00B74B7C" w:rsidRPr="00903BCB" w:rsidRDefault="00B74B7C" w:rsidP="00B74B7C">
            <w:pPr>
              <w:ind w:left="0" w:right="0"/>
              <w:jc w:val="left"/>
              <w:rPr>
                <w:sz w:val="24"/>
                <w:szCs w:val="24"/>
              </w:rPr>
            </w:pPr>
          </w:p>
        </w:tc>
        <w:tc>
          <w:tcPr>
            <w:tcW w:w="1345" w:type="pct"/>
            <w:noWrap/>
            <w:vAlign w:val="center"/>
            <w:hideMark/>
          </w:tcPr>
          <w:p w14:paraId="5B69C02F" w14:textId="77777777" w:rsidR="00B74B7C" w:rsidRPr="00903BCB" w:rsidRDefault="00B74B7C" w:rsidP="00B74B7C">
            <w:pPr>
              <w:ind w:left="0" w:right="0"/>
              <w:jc w:val="left"/>
              <w:rPr>
                <w:sz w:val="24"/>
                <w:szCs w:val="24"/>
              </w:rPr>
            </w:pPr>
            <w:r w:rsidRPr="00903BCB">
              <w:rPr>
                <w:sz w:val="24"/>
                <w:szCs w:val="24"/>
              </w:rPr>
              <w:t>Madaba</w:t>
            </w:r>
          </w:p>
        </w:tc>
        <w:tc>
          <w:tcPr>
            <w:tcW w:w="1392" w:type="pct"/>
            <w:noWrap/>
            <w:vAlign w:val="center"/>
            <w:hideMark/>
          </w:tcPr>
          <w:p w14:paraId="02FEBC5F" w14:textId="77777777" w:rsidR="00B74B7C" w:rsidRPr="00903BCB" w:rsidRDefault="00B74B7C" w:rsidP="00B74B7C">
            <w:pPr>
              <w:ind w:left="0" w:right="0"/>
              <w:jc w:val="right"/>
              <w:rPr>
                <w:sz w:val="24"/>
                <w:szCs w:val="24"/>
              </w:rPr>
            </w:pPr>
            <w:r w:rsidRPr="00903BCB">
              <w:rPr>
                <w:sz w:val="24"/>
                <w:szCs w:val="24"/>
              </w:rPr>
              <w:t>4</w:t>
            </w:r>
          </w:p>
        </w:tc>
        <w:tc>
          <w:tcPr>
            <w:tcW w:w="1391" w:type="pct"/>
            <w:vAlign w:val="bottom"/>
          </w:tcPr>
          <w:p w14:paraId="018D2E34" w14:textId="77777777" w:rsidR="00B74B7C" w:rsidRPr="00903BCB" w:rsidRDefault="00B74B7C" w:rsidP="00B74B7C">
            <w:pPr>
              <w:ind w:left="0" w:right="0"/>
              <w:jc w:val="right"/>
              <w:rPr>
                <w:sz w:val="24"/>
                <w:szCs w:val="24"/>
              </w:rPr>
            </w:pPr>
            <w:r w:rsidRPr="00903BCB">
              <w:rPr>
                <w:rFonts w:eastAsia="Times New Roman"/>
                <w:sz w:val="24"/>
                <w:szCs w:val="24"/>
              </w:rPr>
              <w:t>71.4%</w:t>
            </w:r>
          </w:p>
        </w:tc>
      </w:tr>
      <w:tr w:rsidR="00B74B7C" w:rsidRPr="00903BCB" w14:paraId="7B56F53E" w14:textId="77777777" w:rsidTr="00B74B7C">
        <w:trPr>
          <w:jc w:val="center"/>
        </w:trPr>
        <w:tc>
          <w:tcPr>
            <w:tcW w:w="872" w:type="pct"/>
            <w:noWrap/>
            <w:vAlign w:val="center"/>
            <w:hideMark/>
          </w:tcPr>
          <w:p w14:paraId="43296AA2" w14:textId="77777777" w:rsidR="00B74B7C" w:rsidRPr="00903BCB" w:rsidRDefault="00B74B7C" w:rsidP="00B74B7C">
            <w:pPr>
              <w:ind w:left="0" w:right="0"/>
              <w:jc w:val="left"/>
              <w:rPr>
                <w:sz w:val="24"/>
                <w:szCs w:val="24"/>
              </w:rPr>
            </w:pPr>
            <w:r w:rsidRPr="00903BCB">
              <w:rPr>
                <w:sz w:val="24"/>
                <w:szCs w:val="24"/>
              </w:rPr>
              <w:t>South</w:t>
            </w:r>
          </w:p>
        </w:tc>
        <w:tc>
          <w:tcPr>
            <w:tcW w:w="1345" w:type="pct"/>
            <w:noWrap/>
            <w:vAlign w:val="center"/>
            <w:hideMark/>
          </w:tcPr>
          <w:p w14:paraId="26ECA906" w14:textId="77777777" w:rsidR="00B74B7C" w:rsidRPr="00903BCB" w:rsidRDefault="00B74B7C" w:rsidP="00B74B7C">
            <w:pPr>
              <w:ind w:left="0" w:right="0"/>
              <w:jc w:val="left"/>
              <w:rPr>
                <w:sz w:val="24"/>
                <w:szCs w:val="24"/>
              </w:rPr>
            </w:pPr>
            <w:r w:rsidRPr="00903BCB">
              <w:rPr>
                <w:sz w:val="24"/>
                <w:szCs w:val="24"/>
              </w:rPr>
              <w:t>Karak</w:t>
            </w:r>
          </w:p>
        </w:tc>
        <w:tc>
          <w:tcPr>
            <w:tcW w:w="1392" w:type="pct"/>
            <w:noWrap/>
            <w:vAlign w:val="center"/>
            <w:hideMark/>
          </w:tcPr>
          <w:p w14:paraId="601D1701" w14:textId="77777777" w:rsidR="00B74B7C" w:rsidRPr="00903BCB" w:rsidRDefault="00B74B7C" w:rsidP="00B74B7C">
            <w:pPr>
              <w:ind w:left="0" w:right="0"/>
              <w:jc w:val="right"/>
              <w:rPr>
                <w:sz w:val="24"/>
                <w:szCs w:val="24"/>
              </w:rPr>
            </w:pPr>
            <w:r w:rsidRPr="00903BCB">
              <w:rPr>
                <w:sz w:val="24"/>
                <w:szCs w:val="24"/>
              </w:rPr>
              <w:t>10</w:t>
            </w:r>
          </w:p>
        </w:tc>
        <w:tc>
          <w:tcPr>
            <w:tcW w:w="1391" w:type="pct"/>
            <w:vAlign w:val="bottom"/>
          </w:tcPr>
          <w:p w14:paraId="57087AAC" w14:textId="77777777" w:rsidR="00B74B7C" w:rsidRPr="00903BCB" w:rsidRDefault="00B74B7C" w:rsidP="00B74B7C">
            <w:pPr>
              <w:ind w:left="0" w:right="0"/>
              <w:jc w:val="right"/>
              <w:rPr>
                <w:sz w:val="24"/>
                <w:szCs w:val="24"/>
              </w:rPr>
            </w:pPr>
            <w:r w:rsidRPr="00903BCB">
              <w:rPr>
                <w:rFonts w:eastAsia="Times New Roman"/>
                <w:sz w:val="24"/>
                <w:szCs w:val="24"/>
              </w:rPr>
              <w:t>35.0%</w:t>
            </w:r>
          </w:p>
        </w:tc>
      </w:tr>
      <w:tr w:rsidR="00B74B7C" w:rsidRPr="00903BCB" w14:paraId="3919C166" w14:textId="77777777" w:rsidTr="00B74B7C">
        <w:trPr>
          <w:jc w:val="center"/>
        </w:trPr>
        <w:tc>
          <w:tcPr>
            <w:tcW w:w="872" w:type="pct"/>
            <w:noWrap/>
            <w:vAlign w:val="center"/>
            <w:hideMark/>
          </w:tcPr>
          <w:p w14:paraId="520B46C8" w14:textId="77777777" w:rsidR="00B74B7C" w:rsidRPr="00903BCB" w:rsidRDefault="00B74B7C" w:rsidP="00B74B7C">
            <w:pPr>
              <w:ind w:left="0" w:right="0"/>
              <w:jc w:val="left"/>
              <w:rPr>
                <w:sz w:val="24"/>
                <w:szCs w:val="24"/>
              </w:rPr>
            </w:pPr>
          </w:p>
        </w:tc>
        <w:tc>
          <w:tcPr>
            <w:tcW w:w="1345" w:type="pct"/>
            <w:noWrap/>
            <w:vAlign w:val="center"/>
            <w:hideMark/>
          </w:tcPr>
          <w:p w14:paraId="15A738DB" w14:textId="77777777" w:rsidR="00B74B7C" w:rsidRPr="00903BCB" w:rsidRDefault="00B74B7C" w:rsidP="00B74B7C">
            <w:pPr>
              <w:ind w:left="0" w:right="0"/>
              <w:jc w:val="left"/>
              <w:rPr>
                <w:sz w:val="24"/>
                <w:szCs w:val="24"/>
              </w:rPr>
            </w:pPr>
            <w:r w:rsidRPr="00903BCB">
              <w:rPr>
                <w:sz w:val="24"/>
                <w:szCs w:val="24"/>
              </w:rPr>
              <w:t>Tafilah</w:t>
            </w:r>
          </w:p>
        </w:tc>
        <w:tc>
          <w:tcPr>
            <w:tcW w:w="1392" w:type="pct"/>
            <w:noWrap/>
            <w:vAlign w:val="center"/>
            <w:hideMark/>
          </w:tcPr>
          <w:p w14:paraId="4B3CE700" w14:textId="77777777" w:rsidR="00B74B7C" w:rsidRPr="00903BCB" w:rsidRDefault="00B74B7C" w:rsidP="00B74B7C">
            <w:pPr>
              <w:ind w:left="0" w:right="0"/>
              <w:jc w:val="right"/>
              <w:rPr>
                <w:sz w:val="24"/>
                <w:szCs w:val="24"/>
              </w:rPr>
            </w:pPr>
            <w:r w:rsidRPr="00903BCB">
              <w:rPr>
                <w:sz w:val="24"/>
                <w:szCs w:val="24"/>
              </w:rPr>
              <w:t>4</w:t>
            </w:r>
          </w:p>
        </w:tc>
        <w:tc>
          <w:tcPr>
            <w:tcW w:w="1391" w:type="pct"/>
            <w:vAlign w:val="bottom"/>
          </w:tcPr>
          <w:p w14:paraId="7A76C2BD" w14:textId="77777777" w:rsidR="00B74B7C" w:rsidRPr="00903BCB" w:rsidRDefault="00B74B7C" w:rsidP="00B74B7C">
            <w:pPr>
              <w:ind w:left="0" w:right="0"/>
              <w:jc w:val="right"/>
              <w:rPr>
                <w:sz w:val="24"/>
                <w:szCs w:val="24"/>
              </w:rPr>
            </w:pPr>
            <w:r w:rsidRPr="00903BCB">
              <w:rPr>
                <w:rFonts w:eastAsia="Times New Roman"/>
                <w:sz w:val="24"/>
                <w:szCs w:val="24"/>
              </w:rPr>
              <w:t>71.4%</w:t>
            </w:r>
          </w:p>
        </w:tc>
      </w:tr>
      <w:tr w:rsidR="00B74B7C" w:rsidRPr="00903BCB" w14:paraId="500D7B86" w14:textId="77777777" w:rsidTr="00B74B7C">
        <w:trPr>
          <w:jc w:val="center"/>
        </w:trPr>
        <w:tc>
          <w:tcPr>
            <w:tcW w:w="872" w:type="pct"/>
            <w:noWrap/>
            <w:vAlign w:val="center"/>
            <w:hideMark/>
          </w:tcPr>
          <w:p w14:paraId="2C1D3FE5" w14:textId="77777777" w:rsidR="00B74B7C" w:rsidRPr="00903BCB" w:rsidRDefault="00B74B7C" w:rsidP="00B74B7C">
            <w:pPr>
              <w:ind w:left="0" w:right="0"/>
              <w:jc w:val="left"/>
              <w:rPr>
                <w:sz w:val="24"/>
                <w:szCs w:val="24"/>
              </w:rPr>
            </w:pPr>
          </w:p>
        </w:tc>
        <w:tc>
          <w:tcPr>
            <w:tcW w:w="1345" w:type="pct"/>
            <w:noWrap/>
            <w:vAlign w:val="center"/>
            <w:hideMark/>
          </w:tcPr>
          <w:p w14:paraId="792905DC" w14:textId="77777777" w:rsidR="00B74B7C" w:rsidRPr="00903BCB" w:rsidRDefault="00B74B7C" w:rsidP="00B74B7C">
            <w:pPr>
              <w:ind w:left="0" w:right="0"/>
              <w:jc w:val="left"/>
              <w:rPr>
                <w:sz w:val="24"/>
                <w:szCs w:val="24"/>
              </w:rPr>
            </w:pPr>
            <w:r w:rsidRPr="00903BCB">
              <w:rPr>
                <w:sz w:val="24"/>
                <w:szCs w:val="24"/>
              </w:rPr>
              <w:t>Ma'an</w:t>
            </w:r>
          </w:p>
        </w:tc>
        <w:tc>
          <w:tcPr>
            <w:tcW w:w="1392" w:type="pct"/>
            <w:noWrap/>
            <w:vAlign w:val="center"/>
            <w:hideMark/>
          </w:tcPr>
          <w:p w14:paraId="35D2C8AD" w14:textId="77777777" w:rsidR="00B74B7C" w:rsidRPr="00903BCB" w:rsidRDefault="00B74B7C" w:rsidP="00B74B7C">
            <w:pPr>
              <w:ind w:left="0" w:right="0"/>
              <w:jc w:val="right"/>
              <w:rPr>
                <w:sz w:val="24"/>
                <w:szCs w:val="24"/>
              </w:rPr>
            </w:pPr>
            <w:r w:rsidRPr="00903BCB">
              <w:rPr>
                <w:sz w:val="24"/>
                <w:szCs w:val="24"/>
              </w:rPr>
              <w:t>7</w:t>
            </w:r>
          </w:p>
        </w:tc>
        <w:tc>
          <w:tcPr>
            <w:tcW w:w="1391" w:type="pct"/>
            <w:vAlign w:val="bottom"/>
          </w:tcPr>
          <w:p w14:paraId="72696325" w14:textId="77777777" w:rsidR="00B74B7C" w:rsidRPr="00903BCB" w:rsidRDefault="00B74B7C" w:rsidP="00B74B7C">
            <w:pPr>
              <w:ind w:left="0" w:right="0"/>
              <w:jc w:val="right"/>
              <w:rPr>
                <w:sz w:val="24"/>
                <w:szCs w:val="24"/>
              </w:rPr>
            </w:pPr>
            <w:r w:rsidRPr="00903BCB">
              <w:rPr>
                <w:rFonts w:eastAsia="Times New Roman"/>
                <w:sz w:val="24"/>
                <w:szCs w:val="24"/>
              </w:rPr>
              <w:t>54.9%</w:t>
            </w:r>
          </w:p>
        </w:tc>
      </w:tr>
      <w:tr w:rsidR="00B74B7C" w:rsidRPr="00903BCB" w14:paraId="39051F85" w14:textId="77777777" w:rsidTr="00B74B7C">
        <w:trPr>
          <w:jc w:val="center"/>
        </w:trPr>
        <w:tc>
          <w:tcPr>
            <w:tcW w:w="872" w:type="pct"/>
            <w:noWrap/>
            <w:vAlign w:val="center"/>
            <w:hideMark/>
          </w:tcPr>
          <w:p w14:paraId="3048B1E7" w14:textId="77777777" w:rsidR="00B74B7C" w:rsidRPr="00903BCB" w:rsidRDefault="00B74B7C" w:rsidP="00B74B7C">
            <w:pPr>
              <w:ind w:left="0" w:right="0"/>
              <w:jc w:val="left"/>
              <w:rPr>
                <w:sz w:val="24"/>
                <w:szCs w:val="24"/>
              </w:rPr>
            </w:pPr>
          </w:p>
        </w:tc>
        <w:tc>
          <w:tcPr>
            <w:tcW w:w="1345" w:type="pct"/>
            <w:noWrap/>
            <w:vAlign w:val="center"/>
            <w:hideMark/>
          </w:tcPr>
          <w:p w14:paraId="6FDDA5CF" w14:textId="77777777" w:rsidR="00B74B7C" w:rsidRPr="00903BCB" w:rsidRDefault="00B74B7C" w:rsidP="00B74B7C">
            <w:pPr>
              <w:ind w:left="0" w:right="0"/>
              <w:jc w:val="left"/>
              <w:rPr>
                <w:sz w:val="24"/>
                <w:szCs w:val="24"/>
              </w:rPr>
            </w:pPr>
            <w:r w:rsidRPr="00903BCB">
              <w:rPr>
                <w:sz w:val="24"/>
                <w:szCs w:val="24"/>
              </w:rPr>
              <w:t>Aqaba</w:t>
            </w:r>
          </w:p>
        </w:tc>
        <w:tc>
          <w:tcPr>
            <w:tcW w:w="1392" w:type="pct"/>
            <w:noWrap/>
            <w:vAlign w:val="center"/>
            <w:hideMark/>
          </w:tcPr>
          <w:p w14:paraId="252EED90" w14:textId="77777777" w:rsidR="00B74B7C" w:rsidRPr="00903BCB" w:rsidRDefault="00B74B7C" w:rsidP="00B74B7C">
            <w:pPr>
              <w:ind w:left="0" w:right="0"/>
              <w:jc w:val="right"/>
              <w:rPr>
                <w:sz w:val="24"/>
                <w:szCs w:val="24"/>
              </w:rPr>
            </w:pPr>
            <w:r w:rsidRPr="00903BCB">
              <w:rPr>
                <w:sz w:val="24"/>
                <w:szCs w:val="24"/>
              </w:rPr>
              <w:t>4</w:t>
            </w:r>
          </w:p>
        </w:tc>
        <w:tc>
          <w:tcPr>
            <w:tcW w:w="1391" w:type="pct"/>
            <w:vAlign w:val="bottom"/>
          </w:tcPr>
          <w:p w14:paraId="145C6E6E" w14:textId="77777777" w:rsidR="00B74B7C" w:rsidRPr="00903BCB" w:rsidRDefault="00B74B7C" w:rsidP="00B74B7C">
            <w:pPr>
              <w:ind w:left="0" w:right="0"/>
              <w:jc w:val="right"/>
              <w:rPr>
                <w:sz w:val="24"/>
                <w:szCs w:val="24"/>
              </w:rPr>
            </w:pPr>
            <w:r w:rsidRPr="00903BCB">
              <w:rPr>
                <w:rFonts w:eastAsia="Times New Roman"/>
                <w:sz w:val="24"/>
                <w:szCs w:val="24"/>
              </w:rPr>
              <w:t>86.0%</w:t>
            </w:r>
          </w:p>
        </w:tc>
      </w:tr>
      <w:tr w:rsidR="00B74B7C" w:rsidRPr="00903BCB" w14:paraId="793217F3" w14:textId="77777777" w:rsidTr="00B74B7C">
        <w:trPr>
          <w:jc w:val="center"/>
        </w:trPr>
        <w:tc>
          <w:tcPr>
            <w:tcW w:w="872" w:type="pct"/>
            <w:shd w:val="clear" w:color="auto" w:fill="auto"/>
            <w:noWrap/>
            <w:vAlign w:val="center"/>
            <w:hideMark/>
          </w:tcPr>
          <w:p w14:paraId="1496F594" w14:textId="77777777" w:rsidR="00B74B7C" w:rsidRPr="00903BCB" w:rsidRDefault="00B74B7C" w:rsidP="00B74B7C">
            <w:pPr>
              <w:ind w:left="0" w:right="0"/>
              <w:jc w:val="left"/>
              <w:rPr>
                <w:b/>
                <w:bCs/>
                <w:sz w:val="24"/>
                <w:szCs w:val="24"/>
              </w:rPr>
            </w:pPr>
            <w:r w:rsidRPr="00903BCB">
              <w:rPr>
                <w:b/>
                <w:bCs/>
                <w:sz w:val="24"/>
                <w:szCs w:val="24"/>
              </w:rPr>
              <w:t>Jordan</w:t>
            </w:r>
          </w:p>
        </w:tc>
        <w:tc>
          <w:tcPr>
            <w:tcW w:w="1345" w:type="pct"/>
            <w:shd w:val="clear" w:color="auto" w:fill="auto"/>
            <w:noWrap/>
            <w:vAlign w:val="center"/>
            <w:hideMark/>
          </w:tcPr>
          <w:p w14:paraId="7E57F472" w14:textId="77777777" w:rsidR="00B74B7C" w:rsidRPr="00903BCB" w:rsidRDefault="00B74B7C" w:rsidP="00B74B7C">
            <w:pPr>
              <w:ind w:left="0" w:right="0"/>
              <w:jc w:val="left"/>
              <w:rPr>
                <w:b/>
                <w:sz w:val="24"/>
                <w:szCs w:val="24"/>
              </w:rPr>
            </w:pPr>
            <w:r w:rsidRPr="00903BCB">
              <w:rPr>
                <w:b/>
                <w:sz w:val="24"/>
                <w:szCs w:val="24"/>
              </w:rPr>
              <w:t>TOTAL</w:t>
            </w:r>
          </w:p>
        </w:tc>
        <w:tc>
          <w:tcPr>
            <w:tcW w:w="1392" w:type="pct"/>
            <w:shd w:val="clear" w:color="auto" w:fill="auto"/>
            <w:noWrap/>
            <w:vAlign w:val="center"/>
            <w:hideMark/>
          </w:tcPr>
          <w:p w14:paraId="0F49B6C6" w14:textId="77777777" w:rsidR="00B74B7C" w:rsidRPr="00903BCB" w:rsidRDefault="00B74B7C" w:rsidP="00B74B7C">
            <w:pPr>
              <w:ind w:left="0" w:right="0"/>
              <w:jc w:val="right"/>
              <w:rPr>
                <w:b/>
                <w:bCs/>
                <w:sz w:val="24"/>
                <w:szCs w:val="24"/>
              </w:rPr>
            </w:pPr>
            <w:r w:rsidRPr="00903BCB">
              <w:rPr>
                <w:b/>
                <w:bCs/>
                <w:sz w:val="24"/>
                <w:szCs w:val="24"/>
              </w:rPr>
              <w:t>93</w:t>
            </w:r>
          </w:p>
        </w:tc>
        <w:tc>
          <w:tcPr>
            <w:tcW w:w="1391" w:type="pct"/>
          </w:tcPr>
          <w:p w14:paraId="19F57910" w14:textId="77777777" w:rsidR="00B74B7C" w:rsidRPr="00903BCB" w:rsidRDefault="00B74B7C" w:rsidP="00B74B7C">
            <w:pPr>
              <w:ind w:left="0" w:right="0"/>
              <w:jc w:val="right"/>
              <w:rPr>
                <w:b/>
                <w:bCs/>
                <w:sz w:val="24"/>
                <w:szCs w:val="24"/>
              </w:rPr>
            </w:pPr>
            <w:r w:rsidRPr="00903BCB">
              <w:rPr>
                <w:b/>
                <w:bCs/>
                <w:sz w:val="24"/>
                <w:szCs w:val="24"/>
              </w:rPr>
              <w:t>82.6%</w:t>
            </w:r>
          </w:p>
        </w:tc>
      </w:tr>
    </w:tbl>
    <w:p w14:paraId="11CDCDE0" w14:textId="77777777" w:rsidR="00B74B7C" w:rsidRPr="00903BCB" w:rsidRDefault="00B74B7C" w:rsidP="00B74B7C">
      <w:pPr>
        <w:spacing w:line="360" w:lineRule="auto"/>
        <w:ind w:left="1440" w:right="0" w:firstLine="720"/>
        <w:rPr>
          <w:sz w:val="24"/>
          <w:szCs w:val="24"/>
        </w:rPr>
      </w:pPr>
      <w:r w:rsidRPr="00903BCB">
        <w:rPr>
          <w:sz w:val="24"/>
          <w:szCs w:val="24"/>
        </w:rPr>
        <w:t xml:space="preserve">Sources: Ministry of Municipal Affairs (MOMA) </w:t>
      </w:r>
      <w:r w:rsidRPr="00903BCB">
        <w:rPr>
          <w:rStyle w:val="FootnoteReference"/>
          <w:sz w:val="24"/>
          <w:szCs w:val="24"/>
        </w:rPr>
        <w:footnoteReference w:id="5"/>
      </w:r>
    </w:p>
    <w:p w14:paraId="21415FCB" w14:textId="77777777" w:rsidR="00B74B7C" w:rsidRPr="00903BCB" w:rsidRDefault="00B74B7C" w:rsidP="00CC5B9D">
      <w:pPr>
        <w:spacing w:line="360" w:lineRule="auto"/>
        <w:ind w:left="0" w:right="0"/>
        <w:rPr>
          <w:sz w:val="24"/>
          <w:szCs w:val="24"/>
        </w:rPr>
      </w:pPr>
    </w:p>
    <w:p w14:paraId="67254711" w14:textId="7280458F" w:rsidR="00723897" w:rsidRDefault="00723897" w:rsidP="00CC5B9D">
      <w:pPr>
        <w:spacing w:line="360" w:lineRule="auto"/>
        <w:ind w:left="0" w:right="0"/>
        <w:rPr>
          <w:sz w:val="24"/>
          <w:szCs w:val="24"/>
        </w:rPr>
      </w:pPr>
      <w:r w:rsidRPr="00903BCB">
        <w:rPr>
          <w:sz w:val="24"/>
          <w:szCs w:val="24"/>
        </w:rPr>
        <w:t xml:space="preserve">The governance structure of the municipality </w:t>
      </w:r>
      <w:r w:rsidR="00A60CD8" w:rsidRPr="00903BCB">
        <w:rPr>
          <w:sz w:val="24"/>
          <w:szCs w:val="24"/>
        </w:rPr>
        <w:t>has</w:t>
      </w:r>
      <w:r w:rsidRPr="00903BCB">
        <w:rPr>
          <w:sz w:val="24"/>
          <w:szCs w:val="24"/>
        </w:rPr>
        <w:t xml:space="preserve"> two bodies</w:t>
      </w:r>
      <w:r w:rsidR="00907623" w:rsidRPr="00903BCB">
        <w:rPr>
          <w:sz w:val="24"/>
          <w:szCs w:val="24"/>
        </w:rPr>
        <w:t>: the municipal council and the Mayor’s administration</w:t>
      </w:r>
      <w:r w:rsidR="00B74B7C" w:rsidRPr="00903BCB">
        <w:rPr>
          <w:sz w:val="24"/>
          <w:szCs w:val="24"/>
        </w:rPr>
        <w:t xml:space="preserve">. </w:t>
      </w:r>
      <w:r w:rsidRPr="00903BCB">
        <w:rPr>
          <w:sz w:val="24"/>
          <w:szCs w:val="24"/>
        </w:rPr>
        <w:t xml:space="preserve">The </w:t>
      </w:r>
      <w:r w:rsidR="00070DA0" w:rsidRPr="00903BCB">
        <w:rPr>
          <w:bCs/>
          <w:sz w:val="24"/>
          <w:szCs w:val="24"/>
        </w:rPr>
        <w:t>m</w:t>
      </w:r>
      <w:r w:rsidRPr="00903BCB">
        <w:rPr>
          <w:bCs/>
          <w:sz w:val="24"/>
          <w:szCs w:val="24"/>
        </w:rPr>
        <w:t xml:space="preserve">unicipal </w:t>
      </w:r>
      <w:r w:rsidR="00070DA0" w:rsidRPr="00903BCB">
        <w:rPr>
          <w:bCs/>
          <w:sz w:val="24"/>
          <w:szCs w:val="24"/>
        </w:rPr>
        <w:t>c</w:t>
      </w:r>
      <w:r w:rsidRPr="00903BCB">
        <w:rPr>
          <w:bCs/>
          <w:sz w:val="24"/>
          <w:szCs w:val="24"/>
        </w:rPr>
        <w:t>ouncil</w:t>
      </w:r>
      <w:r w:rsidR="00491C76" w:rsidRPr="00903BCB">
        <w:rPr>
          <w:sz w:val="24"/>
          <w:szCs w:val="24"/>
        </w:rPr>
        <w:t xml:space="preserve"> is </w:t>
      </w:r>
      <w:r w:rsidR="000120CA" w:rsidRPr="00903BCB">
        <w:rPr>
          <w:sz w:val="24"/>
          <w:szCs w:val="24"/>
        </w:rPr>
        <w:t xml:space="preserve">the </w:t>
      </w:r>
      <w:r w:rsidR="00491C76" w:rsidRPr="00903BCB">
        <w:rPr>
          <w:sz w:val="24"/>
          <w:szCs w:val="24"/>
        </w:rPr>
        <w:t>policy</w:t>
      </w:r>
      <w:r w:rsidR="00A60CD8" w:rsidRPr="00903BCB">
        <w:rPr>
          <w:sz w:val="24"/>
          <w:szCs w:val="24"/>
        </w:rPr>
        <w:t>-</w:t>
      </w:r>
      <w:r w:rsidRPr="00903BCB">
        <w:rPr>
          <w:sz w:val="24"/>
          <w:szCs w:val="24"/>
        </w:rPr>
        <w:t xml:space="preserve">making </w:t>
      </w:r>
      <w:r w:rsidR="000120CA" w:rsidRPr="00903BCB">
        <w:rPr>
          <w:sz w:val="24"/>
          <w:szCs w:val="24"/>
        </w:rPr>
        <w:t xml:space="preserve">branch </w:t>
      </w:r>
      <w:r w:rsidRPr="00903BCB">
        <w:rPr>
          <w:sz w:val="24"/>
          <w:szCs w:val="24"/>
        </w:rPr>
        <w:t xml:space="preserve">responsible for </w:t>
      </w:r>
      <w:r w:rsidR="00070DA0" w:rsidRPr="00903BCB">
        <w:rPr>
          <w:sz w:val="24"/>
          <w:szCs w:val="24"/>
        </w:rPr>
        <w:t xml:space="preserve">formulating </w:t>
      </w:r>
      <w:r w:rsidRPr="00903BCB">
        <w:rPr>
          <w:sz w:val="24"/>
          <w:szCs w:val="24"/>
        </w:rPr>
        <w:t xml:space="preserve">the local development vision and </w:t>
      </w:r>
      <w:r w:rsidR="008E48CC" w:rsidRPr="00903BCB">
        <w:rPr>
          <w:sz w:val="24"/>
          <w:szCs w:val="24"/>
        </w:rPr>
        <w:t xml:space="preserve">for </w:t>
      </w:r>
      <w:r w:rsidRPr="00903BCB">
        <w:rPr>
          <w:sz w:val="24"/>
          <w:szCs w:val="24"/>
        </w:rPr>
        <w:t>adopting the municipality’s strategic plans and annu</w:t>
      </w:r>
      <w:r w:rsidR="00491C76" w:rsidRPr="00903BCB">
        <w:rPr>
          <w:sz w:val="24"/>
          <w:szCs w:val="24"/>
        </w:rPr>
        <w:t>al budgets</w:t>
      </w:r>
      <w:r w:rsidR="00B74B7C" w:rsidRPr="00903BCB">
        <w:rPr>
          <w:sz w:val="24"/>
          <w:szCs w:val="24"/>
        </w:rPr>
        <w:t xml:space="preserve">. </w:t>
      </w:r>
      <w:r w:rsidRPr="00903BCB">
        <w:rPr>
          <w:sz w:val="24"/>
          <w:szCs w:val="24"/>
        </w:rPr>
        <w:t>The council members and the mayor are directly elected by the local constituency, with the exception of the Greater Amman Municipality</w:t>
      </w:r>
      <w:r w:rsidR="008E48CC" w:rsidRPr="00903BCB">
        <w:rPr>
          <w:sz w:val="24"/>
          <w:szCs w:val="24"/>
        </w:rPr>
        <w:t>,</w:t>
      </w:r>
      <w:r w:rsidRPr="00903BCB">
        <w:rPr>
          <w:sz w:val="24"/>
          <w:szCs w:val="24"/>
        </w:rPr>
        <w:t xml:space="preserve"> where the </w:t>
      </w:r>
      <w:r w:rsidR="000120CA" w:rsidRPr="00903BCB">
        <w:rPr>
          <w:sz w:val="24"/>
          <w:szCs w:val="24"/>
        </w:rPr>
        <w:t>m</w:t>
      </w:r>
      <w:r w:rsidRPr="00903BCB">
        <w:rPr>
          <w:sz w:val="24"/>
          <w:szCs w:val="24"/>
        </w:rPr>
        <w:t xml:space="preserve">ayor and half of the council members are appointed by the central government and the other half </w:t>
      </w:r>
      <w:r w:rsidR="000120CA" w:rsidRPr="00903BCB">
        <w:rPr>
          <w:sz w:val="24"/>
          <w:szCs w:val="24"/>
        </w:rPr>
        <w:t>is</w:t>
      </w:r>
      <w:r w:rsidRPr="00903BCB">
        <w:rPr>
          <w:sz w:val="24"/>
          <w:szCs w:val="24"/>
        </w:rPr>
        <w:t xml:space="preserve"> directly elected by the citizens.  The</w:t>
      </w:r>
      <w:r w:rsidRPr="00903BCB">
        <w:rPr>
          <w:b/>
          <w:bCs/>
          <w:sz w:val="24"/>
          <w:szCs w:val="24"/>
        </w:rPr>
        <w:t xml:space="preserve"> </w:t>
      </w:r>
      <w:r w:rsidR="000120CA" w:rsidRPr="00903BCB">
        <w:rPr>
          <w:bCs/>
          <w:sz w:val="24"/>
          <w:szCs w:val="24"/>
        </w:rPr>
        <w:t>m</w:t>
      </w:r>
      <w:r w:rsidRPr="00903BCB">
        <w:rPr>
          <w:bCs/>
          <w:sz w:val="24"/>
          <w:szCs w:val="24"/>
        </w:rPr>
        <w:t>ayor</w:t>
      </w:r>
      <w:r w:rsidRPr="00903BCB">
        <w:rPr>
          <w:sz w:val="24"/>
          <w:szCs w:val="24"/>
        </w:rPr>
        <w:t xml:space="preserve"> chairs the </w:t>
      </w:r>
      <w:r w:rsidR="00070DA0" w:rsidRPr="00903BCB">
        <w:rPr>
          <w:sz w:val="24"/>
          <w:szCs w:val="24"/>
        </w:rPr>
        <w:t>m</w:t>
      </w:r>
      <w:r w:rsidRPr="00903BCB">
        <w:rPr>
          <w:sz w:val="24"/>
          <w:szCs w:val="24"/>
        </w:rPr>
        <w:t xml:space="preserve">unicipal </w:t>
      </w:r>
      <w:r w:rsidR="00070DA0" w:rsidRPr="00903BCB">
        <w:rPr>
          <w:sz w:val="24"/>
          <w:szCs w:val="24"/>
        </w:rPr>
        <w:t>c</w:t>
      </w:r>
      <w:r w:rsidRPr="00903BCB">
        <w:rPr>
          <w:sz w:val="24"/>
          <w:szCs w:val="24"/>
        </w:rPr>
        <w:t xml:space="preserve">ouncil and acts as the </w:t>
      </w:r>
      <w:r w:rsidR="00A13332" w:rsidRPr="00903BCB">
        <w:rPr>
          <w:sz w:val="24"/>
          <w:szCs w:val="24"/>
        </w:rPr>
        <w:t>c</w:t>
      </w:r>
      <w:r w:rsidRPr="00903BCB">
        <w:rPr>
          <w:sz w:val="24"/>
          <w:szCs w:val="24"/>
        </w:rPr>
        <w:t xml:space="preserve">hief </w:t>
      </w:r>
      <w:r w:rsidR="00A13332" w:rsidRPr="00903BCB">
        <w:rPr>
          <w:sz w:val="24"/>
          <w:szCs w:val="24"/>
        </w:rPr>
        <w:t>e</w:t>
      </w:r>
      <w:r w:rsidRPr="00903BCB">
        <w:rPr>
          <w:sz w:val="24"/>
          <w:szCs w:val="24"/>
        </w:rPr>
        <w:t xml:space="preserve">xecutive </w:t>
      </w:r>
      <w:r w:rsidR="00A13332" w:rsidRPr="00903BCB">
        <w:rPr>
          <w:sz w:val="24"/>
          <w:szCs w:val="24"/>
        </w:rPr>
        <w:t>o</w:t>
      </w:r>
      <w:r w:rsidRPr="00903BCB">
        <w:rPr>
          <w:sz w:val="24"/>
          <w:szCs w:val="24"/>
        </w:rPr>
        <w:t>fficer</w:t>
      </w:r>
      <w:r w:rsidR="00A13332" w:rsidRPr="00903BCB">
        <w:rPr>
          <w:sz w:val="24"/>
          <w:szCs w:val="24"/>
        </w:rPr>
        <w:t xml:space="preserve"> (CEO)</w:t>
      </w:r>
      <w:r w:rsidR="00EB6789" w:rsidRPr="00903BCB">
        <w:rPr>
          <w:sz w:val="24"/>
          <w:szCs w:val="24"/>
        </w:rPr>
        <w:t xml:space="preserve"> of the municipality. </w:t>
      </w:r>
      <w:r w:rsidRPr="00903BCB">
        <w:rPr>
          <w:sz w:val="24"/>
          <w:szCs w:val="24"/>
        </w:rPr>
        <w:t>As such</w:t>
      </w:r>
      <w:r w:rsidR="00491C76" w:rsidRPr="00903BCB">
        <w:rPr>
          <w:sz w:val="24"/>
          <w:szCs w:val="24"/>
        </w:rPr>
        <w:t>,</w:t>
      </w:r>
      <w:r w:rsidRPr="00903BCB">
        <w:rPr>
          <w:sz w:val="24"/>
          <w:szCs w:val="24"/>
        </w:rPr>
        <w:t xml:space="preserve"> he has full authority over the municipal administration, with the assistance of the </w:t>
      </w:r>
      <w:r w:rsidR="00070DA0" w:rsidRPr="00903BCB">
        <w:rPr>
          <w:sz w:val="24"/>
          <w:szCs w:val="24"/>
        </w:rPr>
        <w:t>m</w:t>
      </w:r>
      <w:r w:rsidRPr="00903BCB">
        <w:rPr>
          <w:sz w:val="24"/>
          <w:szCs w:val="24"/>
        </w:rPr>
        <w:t>unic</w:t>
      </w:r>
      <w:r w:rsidR="00723349" w:rsidRPr="00903BCB">
        <w:rPr>
          <w:sz w:val="24"/>
          <w:szCs w:val="24"/>
        </w:rPr>
        <w:t xml:space="preserve">ipality </w:t>
      </w:r>
      <w:r w:rsidR="00070DA0" w:rsidRPr="00903BCB">
        <w:rPr>
          <w:sz w:val="24"/>
          <w:szCs w:val="24"/>
        </w:rPr>
        <w:t>m</w:t>
      </w:r>
      <w:r w:rsidR="00723349" w:rsidRPr="00903BCB">
        <w:rPr>
          <w:sz w:val="24"/>
          <w:szCs w:val="24"/>
        </w:rPr>
        <w:t>anager</w:t>
      </w:r>
      <w:r w:rsidR="00EB6789" w:rsidRPr="00903BCB">
        <w:rPr>
          <w:sz w:val="24"/>
          <w:szCs w:val="24"/>
        </w:rPr>
        <w:t xml:space="preserve">. </w:t>
      </w:r>
      <w:r w:rsidR="00723349" w:rsidRPr="00903BCB">
        <w:rPr>
          <w:sz w:val="24"/>
          <w:szCs w:val="24"/>
        </w:rPr>
        <w:t xml:space="preserve">The latter </w:t>
      </w:r>
      <w:r w:rsidRPr="00903BCB">
        <w:rPr>
          <w:sz w:val="24"/>
          <w:szCs w:val="24"/>
        </w:rPr>
        <w:t>is appointed by the Ministe</w:t>
      </w:r>
      <w:r w:rsidR="00491C76" w:rsidRPr="00903BCB">
        <w:rPr>
          <w:sz w:val="24"/>
          <w:szCs w:val="24"/>
        </w:rPr>
        <w:t xml:space="preserve">r of Municipal Affairs (MOMA) upon recommendation </w:t>
      </w:r>
      <w:r w:rsidR="00545557" w:rsidRPr="00903BCB">
        <w:rPr>
          <w:sz w:val="24"/>
          <w:szCs w:val="24"/>
        </w:rPr>
        <w:t>by</w:t>
      </w:r>
      <w:r w:rsidR="00491C76" w:rsidRPr="00903BCB">
        <w:rPr>
          <w:sz w:val="24"/>
          <w:szCs w:val="24"/>
        </w:rPr>
        <w:t xml:space="preserve"> the respective</w:t>
      </w:r>
      <w:r w:rsidR="00723349" w:rsidRPr="00903BCB">
        <w:rPr>
          <w:sz w:val="24"/>
          <w:szCs w:val="24"/>
        </w:rPr>
        <w:t xml:space="preserve"> </w:t>
      </w:r>
      <w:r w:rsidR="005E250A" w:rsidRPr="00903BCB">
        <w:rPr>
          <w:sz w:val="24"/>
          <w:szCs w:val="24"/>
        </w:rPr>
        <w:t>m</w:t>
      </w:r>
      <w:r w:rsidR="00723349" w:rsidRPr="00903BCB">
        <w:rPr>
          <w:sz w:val="24"/>
          <w:szCs w:val="24"/>
        </w:rPr>
        <w:t xml:space="preserve">unicipal </w:t>
      </w:r>
      <w:r w:rsidR="005E250A" w:rsidRPr="00903BCB">
        <w:rPr>
          <w:sz w:val="24"/>
          <w:szCs w:val="24"/>
        </w:rPr>
        <w:t>c</w:t>
      </w:r>
      <w:r w:rsidRPr="00903BCB">
        <w:rPr>
          <w:sz w:val="24"/>
          <w:szCs w:val="24"/>
        </w:rPr>
        <w:t>ouncil.</w:t>
      </w:r>
    </w:p>
    <w:p w14:paraId="326EC0E9" w14:textId="77777777" w:rsidR="00903BCB" w:rsidRPr="00903BCB" w:rsidRDefault="00903BCB" w:rsidP="00CC5B9D">
      <w:pPr>
        <w:spacing w:line="360" w:lineRule="auto"/>
        <w:ind w:left="0" w:right="0"/>
        <w:rPr>
          <w:sz w:val="24"/>
          <w:szCs w:val="24"/>
        </w:rPr>
      </w:pPr>
    </w:p>
    <w:p w14:paraId="3140B628" w14:textId="2928BFDB" w:rsidR="00723897" w:rsidRPr="00903BCB" w:rsidRDefault="00312FF9" w:rsidP="00CC5B9D">
      <w:pPr>
        <w:spacing w:line="360" w:lineRule="auto"/>
        <w:ind w:left="0" w:right="0"/>
        <w:rPr>
          <w:sz w:val="24"/>
          <w:szCs w:val="24"/>
        </w:rPr>
      </w:pPr>
      <w:r w:rsidRPr="00903BCB">
        <w:rPr>
          <w:sz w:val="24"/>
          <w:szCs w:val="24"/>
        </w:rPr>
        <w:t xml:space="preserve">Law No. 14 </w:t>
      </w:r>
      <w:r w:rsidR="00723897" w:rsidRPr="00903BCB">
        <w:rPr>
          <w:sz w:val="24"/>
          <w:szCs w:val="24"/>
        </w:rPr>
        <w:t>assign</w:t>
      </w:r>
      <w:r w:rsidRPr="00903BCB">
        <w:rPr>
          <w:sz w:val="24"/>
          <w:szCs w:val="24"/>
        </w:rPr>
        <w:t>s</w:t>
      </w:r>
      <w:r w:rsidR="00723897" w:rsidRPr="00903BCB">
        <w:rPr>
          <w:sz w:val="24"/>
          <w:szCs w:val="24"/>
        </w:rPr>
        <w:t xml:space="preserve"> 29 specific functions to the </w:t>
      </w:r>
      <w:r w:rsidR="005E250A" w:rsidRPr="00903BCB">
        <w:rPr>
          <w:sz w:val="24"/>
          <w:szCs w:val="24"/>
        </w:rPr>
        <w:t>m</w:t>
      </w:r>
      <w:r w:rsidR="00723897" w:rsidRPr="00903BCB">
        <w:rPr>
          <w:sz w:val="24"/>
          <w:szCs w:val="24"/>
        </w:rPr>
        <w:t>uni</w:t>
      </w:r>
      <w:r w:rsidR="00723349" w:rsidRPr="00903BCB">
        <w:rPr>
          <w:sz w:val="24"/>
          <w:szCs w:val="24"/>
        </w:rPr>
        <w:t xml:space="preserve">cipal </w:t>
      </w:r>
      <w:r w:rsidR="005E250A" w:rsidRPr="00903BCB">
        <w:rPr>
          <w:sz w:val="24"/>
          <w:szCs w:val="24"/>
        </w:rPr>
        <w:t>c</w:t>
      </w:r>
      <w:r w:rsidR="00723349" w:rsidRPr="00903BCB">
        <w:rPr>
          <w:sz w:val="24"/>
          <w:szCs w:val="24"/>
        </w:rPr>
        <w:t>ouncil</w:t>
      </w:r>
      <w:r w:rsidR="008E48CC" w:rsidRPr="00903BCB">
        <w:rPr>
          <w:sz w:val="24"/>
          <w:szCs w:val="24"/>
        </w:rPr>
        <w:t>,</w:t>
      </w:r>
      <w:r w:rsidR="00723349" w:rsidRPr="00903BCB">
        <w:rPr>
          <w:sz w:val="24"/>
          <w:szCs w:val="24"/>
        </w:rPr>
        <w:t xml:space="preserve"> </w:t>
      </w:r>
      <w:r w:rsidR="00AE007D" w:rsidRPr="00903BCB">
        <w:rPr>
          <w:sz w:val="24"/>
          <w:szCs w:val="24"/>
        </w:rPr>
        <w:t xml:space="preserve">of which 26 relate to </w:t>
      </w:r>
      <w:r w:rsidR="00723897" w:rsidRPr="00903BCB">
        <w:rPr>
          <w:sz w:val="24"/>
          <w:szCs w:val="24"/>
        </w:rPr>
        <w:t>urban service d</w:t>
      </w:r>
      <w:r w:rsidR="00723349" w:rsidRPr="00903BCB">
        <w:rPr>
          <w:sz w:val="24"/>
          <w:szCs w:val="24"/>
        </w:rPr>
        <w:t>elivery (see Appendix 1)</w:t>
      </w:r>
      <w:r w:rsidR="00723897" w:rsidRPr="00903BCB">
        <w:rPr>
          <w:sz w:val="24"/>
          <w:szCs w:val="24"/>
        </w:rPr>
        <w:t xml:space="preserve"> and a general</w:t>
      </w:r>
      <w:r w:rsidRPr="00903BCB">
        <w:rPr>
          <w:sz w:val="24"/>
          <w:szCs w:val="24"/>
        </w:rPr>
        <w:t>-</w:t>
      </w:r>
      <w:r w:rsidR="00723897" w:rsidRPr="00903BCB">
        <w:rPr>
          <w:sz w:val="24"/>
          <w:szCs w:val="24"/>
        </w:rPr>
        <w:t>purpose mandate</w:t>
      </w:r>
      <w:r w:rsidRPr="00903BCB">
        <w:rPr>
          <w:sz w:val="24"/>
          <w:szCs w:val="24"/>
        </w:rPr>
        <w:t xml:space="preserve"> that</w:t>
      </w:r>
      <w:r w:rsidR="00723897" w:rsidRPr="00903BCB">
        <w:rPr>
          <w:sz w:val="24"/>
          <w:szCs w:val="24"/>
        </w:rPr>
        <w:t xml:space="preserve"> </w:t>
      </w:r>
      <w:r w:rsidR="00406819" w:rsidRPr="00903BCB">
        <w:rPr>
          <w:sz w:val="24"/>
          <w:szCs w:val="24"/>
        </w:rPr>
        <w:t xml:space="preserve">authorizes </w:t>
      </w:r>
      <w:r w:rsidR="00723897" w:rsidRPr="00903BCB">
        <w:rPr>
          <w:sz w:val="24"/>
          <w:szCs w:val="24"/>
        </w:rPr>
        <w:t xml:space="preserve">the council to carry </w:t>
      </w:r>
      <w:r w:rsidR="008E48CC" w:rsidRPr="00903BCB">
        <w:rPr>
          <w:sz w:val="24"/>
          <w:szCs w:val="24"/>
        </w:rPr>
        <w:t xml:space="preserve">out </w:t>
      </w:r>
      <w:r w:rsidR="00723897" w:rsidRPr="00903BCB">
        <w:rPr>
          <w:sz w:val="24"/>
          <w:szCs w:val="24"/>
        </w:rPr>
        <w:t>developmental activit</w:t>
      </w:r>
      <w:r w:rsidR="00406819" w:rsidRPr="00903BCB">
        <w:rPr>
          <w:sz w:val="24"/>
          <w:szCs w:val="24"/>
        </w:rPr>
        <w:t>ies</w:t>
      </w:r>
      <w:r w:rsidR="00723897" w:rsidRPr="00903BCB">
        <w:rPr>
          <w:sz w:val="24"/>
          <w:szCs w:val="24"/>
        </w:rPr>
        <w:t xml:space="preserve"> that benefit the municipal constituency (Article 40</w:t>
      </w:r>
      <w:r w:rsidR="008E48CC" w:rsidRPr="00903BCB">
        <w:rPr>
          <w:sz w:val="24"/>
          <w:szCs w:val="24"/>
        </w:rPr>
        <w:t>,</w:t>
      </w:r>
      <w:r w:rsidR="00723897" w:rsidRPr="00903BCB">
        <w:rPr>
          <w:sz w:val="24"/>
          <w:szCs w:val="24"/>
        </w:rPr>
        <w:t xml:space="preserve"> Para</w:t>
      </w:r>
      <w:r w:rsidR="008E48CC" w:rsidRPr="00903BCB">
        <w:rPr>
          <w:sz w:val="24"/>
          <w:szCs w:val="24"/>
        </w:rPr>
        <w:t>graph</w:t>
      </w:r>
      <w:r w:rsidR="00723897" w:rsidRPr="00903BCB">
        <w:rPr>
          <w:sz w:val="24"/>
          <w:szCs w:val="24"/>
        </w:rPr>
        <w:t xml:space="preserve"> (j) of the Municipality Law). </w:t>
      </w:r>
      <w:r w:rsidR="00ED5FFA" w:rsidRPr="00903BCB">
        <w:rPr>
          <w:sz w:val="24"/>
          <w:szCs w:val="24"/>
        </w:rPr>
        <w:t>However, i</w:t>
      </w:r>
      <w:r w:rsidR="00723897" w:rsidRPr="00903BCB">
        <w:rPr>
          <w:sz w:val="24"/>
          <w:szCs w:val="24"/>
        </w:rPr>
        <w:t>n practice, not all municipalities are in</w:t>
      </w:r>
      <w:r w:rsidR="008E48CC" w:rsidRPr="00903BCB">
        <w:rPr>
          <w:sz w:val="24"/>
          <w:szCs w:val="24"/>
        </w:rPr>
        <w:t xml:space="preserve"> a</w:t>
      </w:r>
      <w:r w:rsidR="00723897" w:rsidRPr="00903BCB">
        <w:rPr>
          <w:sz w:val="24"/>
          <w:szCs w:val="24"/>
        </w:rPr>
        <w:t xml:space="preserve"> position to assume </w:t>
      </w:r>
      <w:r w:rsidR="00406819" w:rsidRPr="00903BCB">
        <w:rPr>
          <w:sz w:val="24"/>
          <w:szCs w:val="24"/>
        </w:rPr>
        <w:t xml:space="preserve">each </w:t>
      </w:r>
      <w:r w:rsidR="008E48CC" w:rsidRPr="00903BCB">
        <w:rPr>
          <w:sz w:val="24"/>
          <w:szCs w:val="24"/>
        </w:rPr>
        <w:t xml:space="preserve">of </w:t>
      </w:r>
      <w:r w:rsidR="00723897" w:rsidRPr="00903BCB">
        <w:rPr>
          <w:sz w:val="24"/>
          <w:szCs w:val="24"/>
        </w:rPr>
        <w:t>the</w:t>
      </w:r>
      <w:r w:rsidR="00ED5FFA" w:rsidRPr="00903BCB">
        <w:rPr>
          <w:sz w:val="24"/>
          <w:szCs w:val="24"/>
        </w:rPr>
        <w:t>ir</w:t>
      </w:r>
      <w:r w:rsidR="00723897" w:rsidRPr="00903BCB">
        <w:rPr>
          <w:sz w:val="24"/>
          <w:szCs w:val="24"/>
        </w:rPr>
        <w:t xml:space="preserve"> assigned functions in a consistent</w:t>
      </w:r>
      <w:r w:rsidR="00ED5FFA" w:rsidRPr="00903BCB">
        <w:rPr>
          <w:sz w:val="24"/>
          <w:szCs w:val="24"/>
        </w:rPr>
        <w:t xml:space="preserve"> and</w:t>
      </w:r>
      <w:r w:rsidR="00723897" w:rsidRPr="00903BCB">
        <w:rPr>
          <w:sz w:val="24"/>
          <w:szCs w:val="24"/>
        </w:rPr>
        <w:t xml:space="preserve"> effective manner because of (i) limited financial resources (</w:t>
      </w:r>
      <w:r w:rsidR="008E48CC" w:rsidRPr="00903BCB">
        <w:rPr>
          <w:sz w:val="24"/>
          <w:szCs w:val="24"/>
        </w:rPr>
        <w:t xml:space="preserve">be it their </w:t>
      </w:r>
      <w:r w:rsidR="00723897" w:rsidRPr="00903BCB">
        <w:rPr>
          <w:sz w:val="24"/>
          <w:szCs w:val="24"/>
        </w:rPr>
        <w:t>own source revenues or central government transfers), and (ii) weak administrative and technical capacity.</w:t>
      </w:r>
    </w:p>
    <w:p w14:paraId="1A98DB79" w14:textId="77777777" w:rsidR="00723897" w:rsidRPr="00903BCB" w:rsidRDefault="00723897" w:rsidP="00CC5B9D">
      <w:pPr>
        <w:spacing w:line="360" w:lineRule="auto"/>
        <w:ind w:left="0"/>
        <w:rPr>
          <w:sz w:val="24"/>
          <w:szCs w:val="24"/>
        </w:rPr>
      </w:pPr>
    </w:p>
    <w:p w14:paraId="75287A9C" w14:textId="3E5CCDB4" w:rsidR="00693E2C" w:rsidRPr="00903BCB" w:rsidRDefault="00723897" w:rsidP="00623945">
      <w:pPr>
        <w:spacing w:line="360" w:lineRule="auto"/>
        <w:ind w:left="0" w:right="0"/>
        <w:rPr>
          <w:sz w:val="24"/>
          <w:szCs w:val="24"/>
        </w:rPr>
      </w:pPr>
      <w:r w:rsidRPr="00903BCB">
        <w:rPr>
          <w:sz w:val="24"/>
          <w:szCs w:val="24"/>
        </w:rPr>
        <w:t>The Ministry of Municipal Affairs is the supervising authority of the municipal sector; as such the Ministry is responsible for (i) supporting the municipalities (</w:t>
      </w:r>
      <w:r w:rsidR="00ED5FFA" w:rsidRPr="00903BCB">
        <w:rPr>
          <w:sz w:val="24"/>
          <w:szCs w:val="24"/>
        </w:rPr>
        <w:t>i.e</w:t>
      </w:r>
      <w:r w:rsidR="00AA682D" w:rsidRPr="00903BCB">
        <w:rPr>
          <w:sz w:val="24"/>
          <w:szCs w:val="24"/>
        </w:rPr>
        <w:t xml:space="preserve">., </w:t>
      </w:r>
      <w:r w:rsidRPr="00903BCB">
        <w:rPr>
          <w:sz w:val="24"/>
          <w:szCs w:val="24"/>
        </w:rPr>
        <w:t xml:space="preserve">local capacity </w:t>
      </w:r>
      <w:r w:rsidR="00AA682D" w:rsidRPr="00903BCB">
        <w:rPr>
          <w:sz w:val="24"/>
          <w:szCs w:val="24"/>
        </w:rPr>
        <w:t>development, technical advice</w:t>
      </w:r>
      <w:r w:rsidRPr="00903BCB">
        <w:rPr>
          <w:sz w:val="24"/>
          <w:szCs w:val="24"/>
        </w:rPr>
        <w:t>)</w:t>
      </w:r>
      <w:r w:rsidR="00406819" w:rsidRPr="00903BCB">
        <w:rPr>
          <w:sz w:val="24"/>
          <w:szCs w:val="24"/>
        </w:rPr>
        <w:t>;</w:t>
      </w:r>
      <w:r w:rsidRPr="00903BCB">
        <w:rPr>
          <w:sz w:val="24"/>
          <w:szCs w:val="24"/>
        </w:rPr>
        <w:t xml:space="preserve"> (ii) monitoring the regularity of key acts of the municipal council (</w:t>
      </w:r>
      <w:r w:rsidR="00001BBE" w:rsidRPr="00903BCB">
        <w:rPr>
          <w:sz w:val="24"/>
          <w:szCs w:val="24"/>
        </w:rPr>
        <w:t>i.e.</w:t>
      </w:r>
      <w:r w:rsidR="00BE5AD9" w:rsidRPr="00903BCB">
        <w:rPr>
          <w:sz w:val="24"/>
          <w:szCs w:val="24"/>
        </w:rPr>
        <w:t>,</w:t>
      </w:r>
      <w:r w:rsidR="00001BBE" w:rsidRPr="00903BCB">
        <w:rPr>
          <w:sz w:val="24"/>
          <w:szCs w:val="24"/>
        </w:rPr>
        <w:t xml:space="preserve"> </w:t>
      </w:r>
      <w:r w:rsidRPr="00903BCB">
        <w:rPr>
          <w:sz w:val="24"/>
          <w:szCs w:val="24"/>
        </w:rPr>
        <w:t>approval of plans and budgets, setting rates and bases of local fees and charges, approval of municipal borrowing)</w:t>
      </w:r>
      <w:r w:rsidR="00406819" w:rsidRPr="00903BCB">
        <w:rPr>
          <w:sz w:val="24"/>
          <w:szCs w:val="24"/>
        </w:rPr>
        <w:t>;</w:t>
      </w:r>
      <w:r w:rsidRPr="00903BCB">
        <w:rPr>
          <w:sz w:val="24"/>
          <w:szCs w:val="24"/>
        </w:rPr>
        <w:t xml:space="preserve"> and (iii) authorizing the formation of </w:t>
      </w:r>
      <w:r w:rsidR="00A13332" w:rsidRPr="00903BCB">
        <w:rPr>
          <w:sz w:val="24"/>
          <w:szCs w:val="24"/>
        </w:rPr>
        <w:t>j</w:t>
      </w:r>
      <w:r w:rsidRPr="00903BCB">
        <w:rPr>
          <w:sz w:val="24"/>
          <w:szCs w:val="24"/>
        </w:rPr>
        <w:t xml:space="preserve">oint </w:t>
      </w:r>
      <w:r w:rsidR="00A13332" w:rsidRPr="00903BCB">
        <w:rPr>
          <w:sz w:val="24"/>
          <w:szCs w:val="24"/>
        </w:rPr>
        <w:t>s</w:t>
      </w:r>
      <w:r w:rsidRPr="00903BCB">
        <w:rPr>
          <w:sz w:val="24"/>
          <w:szCs w:val="24"/>
        </w:rPr>
        <w:t xml:space="preserve">ervice </w:t>
      </w:r>
      <w:r w:rsidR="00A13332" w:rsidRPr="00903BCB">
        <w:rPr>
          <w:sz w:val="24"/>
          <w:szCs w:val="24"/>
        </w:rPr>
        <w:t>c</w:t>
      </w:r>
      <w:r w:rsidRPr="00903BCB">
        <w:rPr>
          <w:sz w:val="24"/>
          <w:szCs w:val="24"/>
        </w:rPr>
        <w:t>ouncils by two or more municipalities.</w:t>
      </w:r>
    </w:p>
    <w:p w14:paraId="2CF4A1B8" w14:textId="77777777" w:rsidR="00B95066" w:rsidRPr="00903BCB" w:rsidRDefault="00B95066" w:rsidP="00623945">
      <w:pPr>
        <w:spacing w:line="360" w:lineRule="auto"/>
        <w:ind w:left="0" w:right="0"/>
        <w:rPr>
          <w:sz w:val="24"/>
          <w:szCs w:val="24"/>
        </w:rPr>
      </w:pPr>
    </w:p>
    <w:p w14:paraId="7A2D6586" w14:textId="652B5B3D" w:rsidR="00B95066" w:rsidRPr="00903BCB" w:rsidRDefault="00B95066" w:rsidP="003A1207">
      <w:pPr>
        <w:pStyle w:val="PlainText"/>
        <w:spacing w:line="360" w:lineRule="auto"/>
        <w:rPr>
          <w:rFonts w:ascii="Times New Roman" w:hAnsi="Times New Roman"/>
          <w:sz w:val="24"/>
          <w:szCs w:val="24"/>
        </w:rPr>
      </w:pPr>
      <w:r w:rsidRPr="00903BCB">
        <w:rPr>
          <w:rFonts w:ascii="Times New Roman" w:hAnsi="Times New Roman"/>
          <w:i/>
          <w:sz w:val="24"/>
          <w:szCs w:val="24"/>
        </w:rPr>
        <w:t>2.3</w:t>
      </w:r>
      <w:r w:rsidR="00785138" w:rsidRPr="00903BCB">
        <w:rPr>
          <w:rFonts w:ascii="Times New Roman" w:hAnsi="Times New Roman"/>
          <w:i/>
          <w:sz w:val="24"/>
          <w:szCs w:val="24"/>
        </w:rPr>
        <w:t>.</w:t>
      </w:r>
      <w:r w:rsidRPr="00903BCB">
        <w:rPr>
          <w:rFonts w:ascii="Times New Roman" w:hAnsi="Times New Roman"/>
          <w:sz w:val="24"/>
          <w:szCs w:val="24"/>
        </w:rPr>
        <w:t xml:space="preserve"> </w:t>
      </w:r>
      <w:r w:rsidR="005501AD" w:rsidRPr="00903BCB">
        <w:rPr>
          <w:rFonts w:ascii="Times New Roman" w:hAnsi="Times New Roman"/>
          <w:i/>
          <w:iCs/>
          <w:sz w:val="24"/>
          <w:szCs w:val="24"/>
        </w:rPr>
        <w:t>R</w:t>
      </w:r>
      <w:r w:rsidRPr="00903BCB">
        <w:rPr>
          <w:rFonts w:ascii="Times New Roman" w:hAnsi="Times New Roman"/>
          <w:i/>
          <w:iCs/>
          <w:sz w:val="24"/>
          <w:szCs w:val="24"/>
        </w:rPr>
        <w:t xml:space="preserve">elationship </w:t>
      </w:r>
      <w:r w:rsidR="005501AD" w:rsidRPr="00903BCB">
        <w:rPr>
          <w:rFonts w:ascii="Times New Roman" w:hAnsi="Times New Roman"/>
          <w:i/>
          <w:iCs/>
          <w:sz w:val="24"/>
          <w:szCs w:val="24"/>
        </w:rPr>
        <w:t xml:space="preserve">between </w:t>
      </w:r>
      <w:r w:rsidR="00B551F3" w:rsidRPr="00903BCB">
        <w:rPr>
          <w:rFonts w:ascii="Times New Roman" w:hAnsi="Times New Roman"/>
          <w:i/>
          <w:iCs/>
          <w:sz w:val="24"/>
          <w:szCs w:val="24"/>
        </w:rPr>
        <w:t xml:space="preserve">Central Government, </w:t>
      </w:r>
      <w:r w:rsidR="005501AD" w:rsidRPr="00903BCB">
        <w:rPr>
          <w:rFonts w:ascii="Times New Roman" w:hAnsi="Times New Roman"/>
          <w:i/>
          <w:iCs/>
          <w:sz w:val="24"/>
          <w:szCs w:val="24"/>
        </w:rPr>
        <w:t>Governorates and M</w:t>
      </w:r>
      <w:r w:rsidRPr="00903BCB">
        <w:rPr>
          <w:rFonts w:ascii="Times New Roman" w:hAnsi="Times New Roman"/>
          <w:i/>
          <w:iCs/>
          <w:sz w:val="24"/>
          <w:szCs w:val="24"/>
        </w:rPr>
        <w:t>unicipalities</w:t>
      </w:r>
    </w:p>
    <w:p w14:paraId="6D4CC369" w14:textId="70EBE22D" w:rsidR="00C50D26" w:rsidRPr="00903BCB" w:rsidRDefault="00A26434" w:rsidP="005501AD">
      <w:pPr>
        <w:spacing w:line="360" w:lineRule="auto"/>
        <w:ind w:left="0" w:right="0"/>
        <w:rPr>
          <w:sz w:val="24"/>
          <w:szCs w:val="24"/>
          <w:lang w:bidi="ar-JO"/>
        </w:rPr>
      </w:pPr>
      <w:r w:rsidRPr="00903BCB">
        <w:rPr>
          <w:sz w:val="24"/>
          <w:szCs w:val="24"/>
          <w:lang w:bidi="ar-JO"/>
        </w:rPr>
        <w:t xml:space="preserve">According to current </w:t>
      </w:r>
      <w:r w:rsidR="00785138" w:rsidRPr="00903BCB">
        <w:rPr>
          <w:sz w:val="24"/>
          <w:szCs w:val="24"/>
          <w:lang w:bidi="ar-JO"/>
        </w:rPr>
        <w:t xml:space="preserve">national </w:t>
      </w:r>
      <w:r w:rsidRPr="00903BCB">
        <w:rPr>
          <w:sz w:val="24"/>
          <w:szCs w:val="24"/>
          <w:lang w:bidi="ar-JO"/>
        </w:rPr>
        <w:t>regulations there is no clear-cut administrative and financial relation</w:t>
      </w:r>
      <w:r w:rsidR="00785138" w:rsidRPr="00903BCB">
        <w:rPr>
          <w:sz w:val="24"/>
          <w:szCs w:val="24"/>
          <w:lang w:bidi="ar-JO"/>
        </w:rPr>
        <w:t>ship</w:t>
      </w:r>
      <w:r w:rsidRPr="00903BCB">
        <w:rPr>
          <w:sz w:val="24"/>
          <w:szCs w:val="24"/>
          <w:lang w:bidi="ar-JO"/>
        </w:rPr>
        <w:t xml:space="preserve"> between </w:t>
      </w:r>
      <w:r w:rsidR="00406819" w:rsidRPr="00903BCB">
        <w:rPr>
          <w:sz w:val="24"/>
          <w:szCs w:val="24"/>
          <w:lang w:bidi="ar-JO"/>
        </w:rPr>
        <w:t>g</w:t>
      </w:r>
      <w:r w:rsidRPr="00903BCB">
        <w:rPr>
          <w:sz w:val="24"/>
          <w:szCs w:val="24"/>
          <w:lang w:bidi="ar-JO"/>
        </w:rPr>
        <w:t xml:space="preserve">overnorates and </w:t>
      </w:r>
      <w:r w:rsidR="00406819" w:rsidRPr="00903BCB">
        <w:rPr>
          <w:sz w:val="24"/>
          <w:szCs w:val="24"/>
          <w:lang w:bidi="ar-JO"/>
        </w:rPr>
        <w:t>m</w:t>
      </w:r>
      <w:r w:rsidRPr="00903BCB">
        <w:rPr>
          <w:sz w:val="24"/>
          <w:szCs w:val="24"/>
          <w:lang w:bidi="ar-JO"/>
        </w:rPr>
        <w:t>unicipalities</w:t>
      </w:r>
      <w:r w:rsidR="00785138" w:rsidRPr="00903BCB">
        <w:rPr>
          <w:sz w:val="24"/>
          <w:szCs w:val="24"/>
          <w:lang w:bidi="ar-JO"/>
        </w:rPr>
        <w:t xml:space="preserve"> in Jordan</w:t>
      </w:r>
      <w:r w:rsidRPr="00903BCB">
        <w:rPr>
          <w:sz w:val="24"/>
          <w:szCs w:val="24"/>
          <w:lang w:bidi="ar-JO"/>
        </w:rPr>
        <w:t xml:space="preserve">. Although </w:t>
      </w:r>
      <w:r w:rsidR="00785138" w:rsidRPr="00903BCB">
        <w:rPr>
          <w:sz w:val="24"/>
          <w:szCs w:val="24"/>
          <w:lang w:bidi="ar-JO"/>
        </w:rPr>
        <w:t xml:space="preserve">they </w:t>
      </w:r>
      <w:r w:rsidRPr="00903BCB">
        <w:rPr>
          <w:sz w:val="24"/>
          <w:szCs w:val="24"/>
          <w:lang w:bidi="ar-JO"/>
        </w:rPr>
        <w:t xml:space="preserve">are located within the </w:t>
      </w:r>
      <w:r w:rsidR="00785138" w:rsidRPr="00903BCB">
        <w:rPr>
          <w:sz w:val="24"/>
          <w:szCs w:val="24"/>
          <w:lang w:bidi="ar-JO"/>
        </w:rPr>
        <w:t>geographic boundaries of g</w:t>
      </w:r>
      <w:r w:rsidRPr="00903BCB">
        <w:rPr>
          <w:sz w:val="24"/>
          <w:szCs w:val="24"/>
          <w:lang w:bidi="ar-JO"/>
        </w:rPr>
        <w:t xml:space="preserve">overnorates, </w:t>
      </w:r>
      <w:r w:rsidR="00785138" w:rsidRPr="00903BCB">
        <w:rPr>
          <w:sz w:val="24"/>
          <w:szCs w:val="24"/>
          <w:lang w:bidi="ar-JO"/>
        </w:rPr>
        <w:t>m</w:t>
      </w:r>
      <w:r w:rsidRPr="00903BCB">
        <w:rPr>
          <w:sz w:val="24"/>
          <w:szCs w:val="24"/>
          <w:lang w:bidi="ar-JO"/>
        </w:rPr>
        <w:t xml:space="preserve">unicipalities are </w:t>
      </w:r>
      <w:r w:rsidR="009D127F" w:rsidRPr="00903BCB">
        <w:rPr>
          <w:sz w:val="24"/>
          <w:szCs w:val="24"/>
          <w:lang w:bidi="ar-JO"/>
        </w:rPr>
        <w:t>overseen</w:t>
      </w:r>
      <w:r w:rsidRPr="00903BCB">
        <w:rPr>
          <w:sz w:val="24"/>
          <w:szCs w:val="24"/>
          <w:lang w:bidi="ar-JO"/>
        </w:rPr>
        <w:t>, financially and administratively, by the Ministry of Municipal Affairs (MoMA)</w:t>
      </w:r>
      <w:r w:rsidR="009D127F" w:rsidRPr="00903BCB">
        <w:rPr>
          <w:sz w:val="24"/>
          <w:szCs w:val="24"/>
          <w:lang w:bidi="ar-JO"/>
        </w:rPr>
        <w:t>.</w:t>
      </w:r>
      <w:r w:rsidRPr="00903BCB">
        <w:rPr>
          <w:sz w:val="24"/>
          <w:szCs w:val="24"/>
          <w:lang w:bidi="ar-JO"/>
        </w:rPr>
        <w:t xml:space="preserve"> </w:t>
      </w:r>
      <w:r w:rsidR="009D127F" w:rsidRPr="00903BCB">
        <w:rPr>
          <w:sz w:val="24"/>
          <w:szCs w:val="24"/>
          <w:lang w:bidi="ar-JO"/>
        </w:rPr>
        <w:t>G</w:t>
      </w:r>
      <w:r w:rsidRPr="00903BCB">
        <w:rPr>
          <w:sz w:val="24"/>
          <w:szCs w:val="24"/>
          <w:lang w:bidi="ar-JO"/>
        </w:rPr>
        <w:t>overnorates</w:t>
      </w:r>
      <w:r w:rsidR="009D127F" w:rsidRPr="00903BCB">
        <w:rPr>
          <w:sz w:val="24"/>
          <w:szCs w:val="24"/>
          <w:lang w:bidi="ar-JO"/>
        </w:rPr>
        <w:t xml:space="preserve">, </w:t>
      </w:r>
      <w:r w:rsidR="00384A89" w:rsidRPr="00903BCB">
        <w:rPr>
          <w:sz w:val="24"/>
          <w:szCs w:val="24"/>
          <w:lang w:bidi="ar-JO"/>
        </w:rPr>
        <w:t xml:space="preserve">on the </w:t>
      </w:r>
      <w:r w:rsidR="00DF647B" w:rsidRPr="00903BCB">
        <w:rPr>
          <w:sz w:val="24"/>
          <w:szCs w:val="24"/>
          <w:lang w:bidi="ar-JO"/>
        </w:rPr>
        <w:t>other hand</w:t>
      </w:r>
      <w:r w:rsidR="009D127F" w:rsidRPr="00903BCB">
        <w:rPr>
          <w:sz w:val="24"/>
          <w:szCs w:val="24"/>
          <w:lang w:bidi="ar-JO"/>
        </w:rPr>
        <w:t>,</w:t>
      </w:r>
      <w:r w:rsidRPr="00903BCB">
        <w:rPr>
          <w:sz w:val="24"/>
          <w:szCs w:val="24"/>
          <w:lang w:bidi="ar-JO"/>
        </w:rPr>
        <w:t xml:space="preserve"> are </w:t>
      </w:r>
      <w:r w:rsidR="009D127F" w:rsidRPr="00903BCB">
        <w:rPr>
          <w:sz w:val="24"/>
          <w:szCs w:val="24"/>
          <w:lang w:bidi="ar-JO"/>
        </w:rPr>
        <w:t>overseen</w:t>
      </w:r>
      <w:r w:rsidRPr="00903BCB">
        <w:rPr>
          <w:sz w:val="24"/>
          <w:szCs w:val="24"/>
          <w:lang w:bidi="ar-JO"/>
        </w:rPr>
        <w:t xml:space="preserve"> by the Ministry of Interior (MOI).</w:t>
      </w:r>
      <w:r w:rsidR="00C50D26" w:rsidRPr="00903BCB">
        <w:rPr>
          <w:sz w:val="24"/>
          <w:szCs w:val="24"/>
          <w:lang w:bidi="ar-JO"/>
        </w:rPr>
        <w:t xml:space="preserve"> All administrative and financial decisions </w:t>
      </w:r>
      <w:r w:rsidR="00412130" w:rsidRPr="00903BCB">
        <w:rPr>
          <w:sz w:val="24"/>
          <w:szCs w:val="24"/>
          <w:lang w:bidi="ar-JO"/>
        </w:rPr>
        <w:t xml:space="preserve">at </w:t>
      </w:r>
      <w:r w:rsidR="00DF647B" w:rsidRPr="00903BCB">
        <w:rPr>
          <w:sz w:val="24"/>
          <w:szCs w:val="24"/>
          <w:lang w:bidi="ar-JO"/>
        </w:rPr>
        <w:t xml:space="preserve">the </w:t>
      </w:r>
      <w:r w:rsidR="00412130" w:rsidRPr="00903BCB">
        <w:rPr>
          <w:sz w:val="24"/>
          <w:szCs w:val="24"/>
          <w:lang w:bidi="ar-JO"/>
        </w:rPr>
        <w:t>municipalit</w:t>
      </w:r>
      <w:r w:rsidR="00DF647B" w:rsidRPr="00903BCB">
        <w:rPr>
          <w:sz w:val="24"/>
          <w:szCs w:val="24"/>
          <w:lang w:bidi="ar-JO"/>
        </w:rPr>
        <w:t>y</w:t>
      </w:r>
      <w:r w:rsidR="00412130" w:rsidRPr="00903BCB">
        <w:rPr>
          <w:sz w:val="24"/>
          <w:szCs w:val="24"/>
          <w:lang w:bidi="ar-JO"/>
        </w:rPr>
        <w:t xml:space="preserve"> level, </w:t>
      </w:r>
      <w:r w:rsidR="00C50D26" w:rsidRPr="00903BCB">
        <w:rPr>
          <w:sz w:val="24"/>
          <w:szCs w:val="24"/>
          <w:lang w:bidi="ar-JO"/>
        </w:rPr>
        <w:t xml:space="preserve">including </w:t>
      </w:r>
      <w:r w:rsidR="00DF647B" w:rsidRPr="00903BCB">
        <w:rPr>
          <w:sz w:val="24"/>
          <w:szCs w:val="24"/>
          <w:lang w:bidi="ar-JO"/>
        </w:rPr>
        <w:t xml:space="preserve">those related to the </w:t>
      </w:r>
      <w:r w:rsidR="00C50D26" w:rsidRPr="00903BCB">
        <w:rPr>
          <w:sz w:val="24"/>
          <w:szCs w:val="24"/>
          <w:lang w:bidi="ar-JO"/>
        </w:rPr>
        <w:t>annual budget</w:t>
      </w:r>
      <w:r w:rsidR="00412130" w:rsidRPr="00903BCB">
        <w:rPr>
          <w:sz w:val="24"/>
          <w:szCs w:val="24"/>
          <w:lang w:bidi="ar-JO"/>
        </w:rPr>
        <w:t>,</w:t>
      </w:r>
      <w:r w:rsidR="00C50D26" w:rsidRPr="00903BCB">
        <w:rPr>
          <w:sz w:val="24"/>
          <w:szCs w:val="24"/>
          <w:lang w:bidi="ar-JO"/>
        </w:rPr>
        <w:t xml:space="preserve"> </w:t>
      </w:r>
      <w:r w:rsidR="00412130" w:rsidRPr="00903BCB">
        <w:rPr>
          <w:sz w:val="24"/>
          <w:szCs w:val="24"/>
          <w:lang w:bidi="ar-JO"/>
        </w:rPr>
        <w:t xml:space="preserve">have to </w:t>
      </w:r>
      <w:r w:rsidR="00C50D26" w:rsidRPr="00903BCB">
        <w:rPr>
          <w:sz w:val="24"/>
          <w:szCs w:val="24"/>
          <w:lang w:bidi="ar-JO"/>
        </w:rPr>
        <w:t>be approved by M</w:t>
      </w:r>
      <w:r w:rsidR="00412130" w:rsidRPr="00903BCB">
        <w:rPr>
          <w:sz w:val="24"/>
          <w:szCs w:val="24"/>
          <w:lang w:bidi="ar-JO"/>
        </w:rPr>
        <w:t>o</w:t>
      </w:r>
      <w:r w:rsidR="00C50D26" w:rsidRPr="00903BCB">
        <w:rPr>
          <w:sz w:val="24"/>
          <w:szCs w:val="24"/>
          <w:lang w:bidi="ar-JO"/>
        </w:rPr>
        <w:t>MA.</w:t>
      </w:r>
      <w:r w:rsidR="00114DED" w:rsidRPr="00903BCB">
        <w:rPr>
          <w:sz w:val="24"/>
          <w:szCs w:val="24"/>
          <w:lang w:bidi="ar-JO"/>
        </w:rPr>
        <w:t xml:space="preserve"> </w:t>
      </w:r>
      <w:r w:rsidR="00412130" w:rsidRPr="00903BCB">
        <w:rPr>
          <w:sz w:val="24"/>
          <w:szCs w:val="24"/>
          <w:lang w:bidi="ar-JO"/>
        </w:rPr>
        <w:t xml:space="preserve">Figure 1 illustrates </w:t>
      </w:r>
      <w:r w:rsidR="00DF647B" w:rsidRPr="00903BCB">
        <w:rPr>
          <w:sz w:val="24"/>
          <w:szCs w:val="24"/>
          <w:lang w:bidi="ar-JO"/>
        </w:rPr>
        <w:t xml:space="preserve">this </w:t>
      </w:r>
      <w:r w:rsidR="00412130" w:rsidRPr="00903BCB">
        <w:rPr>
          <w:sz w:val="24"/>
          <w:szCs w:val="24"/>
          <w:lang w:bidi="ar-JO"/>
        </w:rPr>
        <w:t>governance structure.</w:t>
      </w:r>
    </w:p>
    <w:p w14:paraId="612EC998" w14:textId="77777777" w:rsidR="0097046D" w:rsidRPr="00903BCB" w:rsidRDefault="0097046D" w:rsidP="005501AD">
      <w:pPr>
        <w:spacing w:line="360" w:lineRule="auto"/>
        <w:ind w:left="0" w:right="0"/>
        <w:rPr>
          <w:sz w:val="24"/>
          <w:szCs w:val="24"/>
          <w:lang w:bidi="ar-JO"/>
        </w:rPr>
      </w:pPr>
    </w:p>
    <w:p w14:paraId="34F18C74" w14:textId="3C23D658" w:rsidR="00C50D26" w:rsidRPr="00903BCB" w:rsidRDefault="00412130" w:rsidP="00805665">
      <w:pPr>
        <w:ind w:left="0" w:right="0"/>
        <w:rPr>
          <w:sz w:val="24"/>
          <w:szCs w:val="24"/>
          <w:lang w:bidi="ar-JO"/>
        </w:rPr>
      </w:pPr>
      <w:r w:rsidRPr="00903BCB">
        <w:rPr>
          <w:sz w:val="24"/>
          <w:szCs w:val="24"/>
          <w:lang w:bidi="ar-JO"/>
        </w:rPr>
        <w:t xml:space="preserve">Figure 1: </w:t>
      </w:r>
      <w:r w:rsidR="00D06C71" w:rsidRPr="00903BCB">
        <w:rPr>
          <w:sz w:val="24"/>
          <w:szCs w:val="24"/>
          <w:lang w:bidi="ar-JO"/>
        </w:rPr>
        <w:t xml:space="preserve">Governance </w:t>
      </w:r>
      <w:r w:rsidR="00DF647B" w:rsidRPr="00903BCB">
        <w:rPr>
          <w:sz w:val="24"/>
          <w:szCs w:val="24"/>
          <w:lang w:bidi="ar-JO"/>
        </w:rPr>
        <w:t xml:space="preserve">structure </w:t>
      </w:r>
      <w:r w:rsidR="00D06C71" w:rsidRPr="00903BCB">
        <w:rPr>
          <w:sz w:val="24"/>
          <w:szCs w:val="24"/>
          <w:lang w:bidi="ar-JO"/>
        </w:rPr>
        <w:t xml:space="preserve">in </w:t>
      </w:r>
      <w:r w:rsidRPr="00903BCB">
        <w:rPr>
          <w:sz w:val="24"/>
          <w:szCs w:val="24"/>
          <w:lang w:bidi="ar-JO"/>
        </w:rPr>
        <w:t xml:space="preserve">Jordan </w:t>
      </w:r>
    </w:p>
    <w:p w14:paraId="31A61AFA" w14:textId="77777777" w:rsidR="00A26434" w:rsidRPr="00903BCB" w:rsidRDefault="00C50D26" w:rsidP="00A26434">
      <w:pPr>
        <w:spacing w:line="360" w:lineRule="auto"/>
        <w:ind w:left="0" w:right="0"/>
        <w:rPr>
          <w:sz w:val="24"/>
          <w:szCs w:val="24"/>
          <w:lang w:bidi="ar-JO"/>
        </w:rPr>
      </w:pPr>
      <w:r w:rsidRPr="00903BCB">
        <w:rPr>
          <w:noProof/>
          <w:color w:val="000000"/>
          <w:sz w:val="24"/>
          <w:szCs w:val="24"/>
        </w:rPr>
        <w:drawing>
          <wp:inline distT="0" distB="0" distL="0" distR="0" wp14:anchorId="64105409" wp14:editId="6174CFC2">
            <wp:extent cx="5438775" cy="4076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38775" cy="4076700"/>
                    </a:xfrm>
                    <a:prstGeom prst="rect">
                      <a:avLst/>
                    </a:prstGeom>
                    <a:noFill/>
                    <a:ln w="9525">
                      <a:noFill/>
                      <a:miter lim="800000"/>
                      <a:headEnd/>
                      <a:tailEnd/>
                    </a:ln>
                  </pic:spPr>
                </pic:pic>
              </a:graphicData>
            </a:graphic>
          </wp:inline>
        </w:drawing>
      </w:r>
    </w:p>
    <w:p w14:paraId="4C65C4AF" w14:textId="71C8B576" w:rsidR="00B95066" w:rsidRPr="00903BCB" w:rsidRDefault="00C50D26" w:rsidP="001C2468">
      <w:pPr>
        <w:pStyle w:val="PlainText"/>
        <w:rPr>
          <w:rFonts w:ascii="Times New Roman" w:hAnsi="Times New Roman"/>
          <w:sz w:val="24"/>
          <w:szCs w:val="24"/>
        </w:rPr>
      </w:pPr>
      <w:r w:rsidRPr="00903BCB">
        <w:rPr>
          <w:rFonts w:ascii="Times New Roman" w:hAnsi="Times New Roman"/>
          <w:sz w:val="24"/>
          <w:szCs w:val="24"/>
        </w:rPr>
        <w:t xml:space="preserve">Source: </w:t>
      </w:r>
      <w:r w:rsidR="00730EA9" w:rsidRPr="00903BCB">
        <w:rPr>
          <w:rFonts w:ascii="Times New Roman" w:hAnsi="Times New Roman"/>
          <w:sz w:val="24"/>
          <w:szCs w:val="24"/>
        </w:rPr>
        <w:t xml:space="preserve">SOFRECO </w:t>
      </w:r>
      <w:r w:rsidR="00785138" w:rsidRPr="00903BCB">
        <w:rPr>
          <w:rFonts w:ascii="Times New Roman" w:hAnsi="Times New Roman"/>
          <w:sz w:val="24"/>
          <w:szCs w:val="24"/>
          <w:lang w:val="en-GB"/>
        </w:rPr>
        <w:t>(</w:t>
      </w:r>
      <w:r w:rsidR="00114DED" w:rsidRPr="00903BCB">
        <w:rPr>
          <w:rFonts w:ascii="Times New Roman" w:hAnsi="Times New Roman"/>
          <w:sz w:val="24"/>
          <w:szCs w:val="24"/>
          <w:lang w:val="en-GB"/>
        </w:rPr>
        <w:t>2010</w:t>
      </w:r>
      <w:r w:rsidR="00785138" w:rsidRPr="00903BCB">
        <w:rPr>
          <w:rFonts w:ascii="Times New Roman" w:hAnsi="Times New Roman"/>
          <w:sz w:val="24"/>
          <w:szCs w:val="24"/>
          <w:lang w:val="en-GB"/>
        </w:rPr>
        <w:t>)</w:t>
      </w:r>
      <w:r w:rsidR="00730EA9" w:rsidRPr="00903BCB">
        <w:rPr>
          <w:rFonts w:ascii="Times New Roman" w:hAnsi="Times New Roman"/>
          <w:sz w:val="24"/>
          <w:szCs w:val="24"/>
          <w:lang w:val="en-GB"/>
        </w:rPr>
        <w:t>.</w:t>
      </w:r>
    </w:p>
    <w:p w14:paraId="77373B92" w14:textId="77777777" w:rsidR="00693E2C" w:rsidRPr="00903BCB" w:rsidRDefault="00693E2C" w:rsidP="00623945">
      <w:pPr>
        <w:spacing w:line="360" w:lineRule="auto"/>
        <w:ind w:left="0" w:right="0"/>
        <w:rPr>
          <w:sz w:val="24"/>
          <w:szCs w:val="24"/>
        </w:rPr>
      </w:pPr>
    </w:p>
    <w:p w14:paraId="5DEB8575" w14:textId="77777777" w:rsidR="00903BCB" w:rsidRDefault="00903BCB" w:rsidP="00623945">
      <w:pPr>
        <w:spacing w:line="360" w:lineRule="auto"/>
        <w:ind w:left="0" w:right="0"/>
        <w:rPr>
          <w:b/>
          <w:sz w:val="24"/>
          <w:szCs w:val="24"/>
        </w:rPr>
      </w:pPr>
    </w:p>
    <w:p w14:paraId="1CF5539E" w14:textId="269CB2F2" w:rsidR="004A64ED" w:rsidRPr="00903BCB" w:rsidRDefault="00824AD7" w:rsidP="00623945">
      <w:pPr>
        <w:spacing w:line="360" w:lineRule="auto"/>
        <w:ind w:left="0" w:right="0"/>
        <w:rPr>
          <w:b/>
          <w:sz w:val="24"/>
          <w:szCs w:val="24"/>
        </w:rPr>
      </w:pPr>
      <w:r w:rsidRPr="00903BCB">
        <w:rPr>
          <w:b/>
          <w:sz w:val="24"/>
          <w:szCs w:val="24"/>
        </w:rPr>
        <w:t>3</w:t>
      </w:r>
      <w:r w:rsidR="00E5568B" w:rsidRPr="00903BCB">
        <w:rPr>
          <w:b/>
          <w:sz w:val="24"/>
          <w:szCs w:val="24"/>
        </w:rPr>
        <w:t xml:space="preserve">. </w:t>
      </w:r>
      <w:r w:rsidR="004A64ED" w:rsidRPr="00903BCB">
        <w:rPr>
          <w:b/>
          <w:sz w:val="24"/>
          <w:szCs w:val="24"/>
        </w:rPr>
        <w:t xml:space="preserve">Fiscal </w:t>
      </w:r>
      <w:r w:rsidR="002E75C8" w:rsidRPr="00903BCB">
        <w:rPr>
          <w:b/>
          <w:sz w:val="24"/>
          <w:szCs w:val="24"/>
        </w:rPr>
        <w:t>D</w:t>
      </w:r>
      <w:r w:rsidR="00E5568B" w:rsidRPr="00903BCB">
        <w:rPr>
          <w:b/>
          <w:sz w:val="24"/>
          <w:szCs w:val="24"/>
        </w:rPr>
        <w:t xml:space="preserve">ecentralization </w:t>
      </w:r>
      <w:r w:rsidR="00C703D6" w:rsidRPr="00903BCB">
        <w:rPr>
          <w:b/>
          <w:sz w:val="24"/>
          <w:szCs w:val="24"/>
        </w:rPr>
        <w:t>in Jordan</w:t>
      </w:r>
      <w:r w:rsidR="00233AC1" w:rsidRPr="00903BCB">
        <w:rPr>
          <w:b/>
          <w:sz w:val="24"/>
          <w:szCs w:val="24"/>
        </w:rPr>
        <w:t xml:space="preserve">: </w:t>
      </w:r>
      <w:r w:rsidR="00DF647B" w:rsidRPr="00903BCB">
        <w:rPr>
          <w:b/>
          <w:sz w:val="24"/>
          <w:szCs w:val="24"/>
        </w:rPr>
        <w:t>A</w:t>
      </w:r>
      <w:r w:rsidR="00233AC1" w:rsidRPr="00903BCB">
        <w:rPr>
          <w:b/>
          <w:sz w:val="24"/>
          <w:szCs w:val="24"/>
        </w:rPr>
        <w:t xml:space="preserve"> </w:t>
      </w:r>
      <w:r w:rsidR="00DF647B" w:rsidRPr="00903BCB">
        <w:rPr>
          <w:b/>
          <w:sz w:val="24"/>
          <w:szCs w:val="24"/>
        </w:rPr>
        <w:t>F</w:t>
      </w:r>
      <w:r w:rsidR="00233AC1" w:rsidRPr="00903BCB">
        <w:rPr>
          <w:b/>
          <w:sz w:val="24"/>
          <w:szCs w:val="24"/>
        </w:rPr>
        <w:t>ocus on Governorates</w:t>
      </w:r>
    </w:p>
    <w:p w14:paraId="2550F0A3" w14:textId="602D1F89" w:rsidR="00C153CF" w:rsidRPr="00903BCB" w:rsidRDefault="00E65041" w:rsidP="00623945">
      <w:pPr>
        <w:spacing w:line="360" w:lineRule="auto"/>
        <w:ind w:left="0" w:right="0"/>
        <w:rPr>
          <w:sz w:val="24"/>
          <w:szCs w:val="24"/>
        </w:rPr>
      </w:pPr>
      <w:r w:rsidRPr="00903BCB">
        <w:rPr>
          <w:sz w:val="24"/>
          <w:szCs w:val="24"/>
        </w:rPr>
        <w:t>Falleti (2005)</w:t>
      </w:r>
      <w:r w:rsidR="00854023" w:rsidRPr="00903BCB">
        <w:rPr>
          <w:sz w:val="24"/>
          <w:szCs w:val="24"/>
        </w:rPr>
        <w:t xml:space="preserve"> defines decentralization</w:t>
      </w:r>
      <w:r w:rsidR="00366EBF" w:rsidRPr="00903BCB">
        <w:rPr>
          <w:sz w:val="24"/>
          <w:szCs w:val="24"/>
        </w:rPr>
        <w:t xml:space="preserve"> as a process</w:t>
      </w:r>
      <w:r w:rsidR="00D20731" w:rsidRPr="00903BCB">
        <w:rPr>
          <w:sz w:val="24"/>
          <w:szCs w:val="24"/>
        </w:rPr>
        <w:t>,</w:t>
      </w:r>
      <w:r w:rsidR="00854023" w:rsidRPr="00903BCB">
        <w:rPr>
          <w:sz w:val="24"/>
          <w:szCs w:val="24"/>
        </w:rPr>
        <w:t xml:space="preserve"> and argues that the sequencing of different types of decentralizatio</w:t>
      </w:r>
      <w:r w:rsidR="00FF6BD8" w:rsidRPr="00903BCB">
        <w:rPr>
          <w:sz w:val="24"/>
          <w:szCs w:val="24"/>
        </w:rPr>
        <w:t>n (i.e., fiscal, administrative</w:t>
      </w:r>
      <w:r w:rsidR="00854023" w:rsidRPr="00903BCB">
        <w:rPr>
          <w:sz w:val="24"/>
          <w:szCs w:val="24"/>
        </w:rPr>
        <w:t xml:space="preserve"> and political) “is a key determinant of the evolution of intergovernmental balance of power” (p. 327).</w:t>
      </w:r>
      <w:r w:rsidR="004C508D" w:rsidRPr="00903BCB">
        <w:rPr>
          <w:sz w:val="24"/>
          <w:szCs w:val="24"/>
        </w:rPr>
        <w:t xml:space="preserve"> More specifically, th</w:t>
      </w:r>
      <w:r w:rsidR="00D20731" w:rsidRPr="00903BCB">
        <w:rPr>
          <w:sz w:val="24"/>
          <w:szCs w:val="24"/>
        </w:rPr>
        <w:t>e</w:t>
      </w:r>
      <w:r w:rsidR="00C153CF" w:rsidRPr="00903BCB">
        <w:rPr>
          <w:sz w:val="24"/>
          <w:szCs w:val="24"/>
        </w:rPr>
        <w:t xml:space="preserve"> sequential theory of decentralization</w:t>
      </w:r>
      <w:r w:rsidR="004C508D" w:rsidRPr="00903BCB">
        <w:rPr>
          <w:sz w:val="24"/>
          <w:szCs w:val="24"/>
        </w:rPr>
        <w:t xml:space="preserve"> </w:t>
      </w:r>
      <w:r w:rsidR="00C153CF" w:rsidRPr="00903BCB">
        <w:rPr>
          <w:sz w:val="24"/>
          <w:szCs w:val="24"/>
        </w:rPr>
        <w:t>posits</w:t>
      </w:r>
      <w:r w:rsidR="004C508D" w:rsidRPr="00903BCB">
        <w:rPr>
          <w:sz w:val="24"/>
          <w:szCs w:val="24"/>
        </w:rPr>
        <w:t xml:space="preserve"> that the highest degree of change in the intergovernmental balance of power occurs if political and fi</w:t>
      </w:r>
      <w:r w:rsidR="004E0729" w:rsidRPr="00903BCB">
        <w:rPr>
          <w:sz w:val="24"/>
          <w:szCs w:val="24"/>
        </w:rPr>
        <w:t>scal</w:t>
      </w:r>
      <w:r w:rsidR="004C508D" w:rsidRPr="00903BCB">
        <w:rPr>
          <w:sz w:val="24"/>
          <w:szCs w:val="24"/>
        </w:rPr>
        <w:t xml:space="preserve"> decentralization occur prior</w:t>
      </w:r>
      <w:r w:rsidR="00D20731" w:rsidRPr="00903BCB">
        <w:rPr>
          <w:sz w:val="24"/>
          <w:szCs w:val="24"/>
        </w:rPr>
        <w:t xml:space="preserve"> to</w:t>
      </w:r>
      <w:r w:rsidR="004C508D" w:rsidRPr="00903BCB">
        <w:rPr>
          <w:sz w:val="24"/>
          <w:szCs w:val="24"/>
        </w:rPr>
        <w:t xml:space="preserve"> administrative decentralization.</w:t>
      </w:r>
      <w:r w:rsidR="00C153CF" w:rsidRPr="00903BCB">
        <w:rPr>
          <w:sz w:val="24"/>
          <w:szCs w:val="24"/>
        </w:rPr>
        <w:t xml:space="preserve"> </w:t>
      </w:r>
    </w:p>
    <w:p w14:paraId="2D2C55F0" w14:textId="77777777" w:rsidR="00C153CF" w:rsidRPr="00903BCB" w:rsidRDefault="00C153CF" w:rsidP="00623945">
      <w:pPr>
        <w:spacing w:line="360" w:lineRule="auto"/>
        <w:ind w:left="0" w:right="0"/>
        <w:rPr>
          <w:sz w:val="24"/>
          <w:szCs w:val="24"/>
        </w:rPr>
      </w:pPr>
    </w:p>
    <w:p w14:paraId="18E99EEC" w14:textId="31961FDA" w:rsidR="00C153CF" w:rsidRPr="00903BCB" w:rsidRDefault="00C153CF" w:rsidP="00C153CF">
      <w:pPr>
        <w:spacing w:line="360" w:lineRule="auto"/>
        <w:ind w:left="0" w:right="0"/>
        <w:rPr>
          <w:sz w:val="24"/>
          <w:szCs w:val="24"/>
        </w:rPr>
      </w:pPr>
      <w:r w:rsidRPr="00903BCB">
        <w:rPr>
          <w:sz w:val="24"/>
          <w:szCs w:val="24"/>
        </w:rPr>
        <w:t xml:space="preserve">The theory also predicts that a decentralization process driven mostly by prevailing national (as opposed to subnational) interests will most likely start with administrative decentralization. This is so because central authorities will postpone the devolution of political authority and fiscal resources to subnational governments. Political decentralization will occur first only if </w:t>
      </w:r>
      <w:r w:rsidR="004E0729" w:rsidRPr="00903BCB">
        <w:rPr>
          <w:sz w:val="24"/>
          <w:szCs w:val="24"/>
        </w:rPr>
        <w:t>subnational interests drive the reforms</w:t>
      </w:r>
      <w:r w:rsidRPr="00903BCB">
        <w:rPr>
          <w:sz w:val="24"/>
          <w:szCs w:val="24"/>
        </w:rPr>
        <w:t>. Fiscal decentralization will occur first if neither national nor subnational i</w:t>
      </w:r>
      <w:r w:rsidR="004E0729" w:rsidRPr="00903BCB">
        <w:rPr>
          <w:sz w:val="24"/>
          <w:szCs w:val="24"/>
        </w:rPr>
        <w:t>nterests succeed in imposing their</w:t>
      </w:r>
      <w:r w:rsidRPr="00903BCB">
        <w:rPr>
          <w:sz w:val="24"/>
          <w:szCs w:val="24"/>
        </w:rPr>
        <w:t xml:space="preserve"> political power on the other (i.e., fiscal decentralization results from a compromise between nat</w:t>
      </w:r>
      <w:r w:rsidR="001632CC" w:rsidRPr="00903BCB">
        <w:rPr>
          <w:sz w:val="24"/>
          <w:szCs w:val="24"/>
        </w:rPr>
        <w:t>ional and subnational interests</w:t>
      </w:r>
      <w:r w:rsidRPr="00903BCB">
        <w:rPr>
          <w:sz w:val="24"/>
          <w:szCs w:val="24"/>
        </w:rPr>
        <w:t>)</w:t>
      </w:r>
      <w:r w:rsidR="001632CC" w:rsidRPr="00903BCB">
        <w:rPr>
          <w:sz w:val="24"/>
          <w:szCs w:val="24"/>
        </w:rPr>
        <w:t>.</w:t>
      </w:r>
    </w:p>
    <w:p w14:paraId="55828931" w14:textId="77777777" w:rsidR="004C508D" w:rsidRPr="00903BCB" w:rsidRDefault="004C508D" w:rsidP="00623945">
      <w:pPr>
        <w:spacing w:line="360" w:lineRule="auto"/>
        <w:ind w:left="0" w:right="0"/>
        <w:rPr>
          <w:sz w:val="24"/>
          <w:szCs w:val="24"/>
        </w:rPr>
      </w:pPr>
    </w:p>
    <w:p w14:paraId="0BD60541" w14:textId="3B3A5F53" w:rsidR="0007022E" w:rsidRPr="00903BCB" w:rsidRDefault="00244DAD" w:rsidP="00623945">
      <w:pPr>
        <w:spacing w:line="360" w:lineRule="auto"/>
        <w:ind w:left="0" w:right="0"/>
        <w:rPr>
          <w:sz w:val="24"/>
          <w:szCs w:val="24"/>
        </w:rPr>
      </w:pPr>
      <w:r w:rsidRPr="00903BCB">
        <w:rPr>
          <w:sz w:val="24"/>
          <w:szCs w:val="24"/>
        </w:rPr>
        <w:t xml:space="preserve">Currently, decentralization in </w:t>
      </w:r>
      <w:r w:rsidR="004E0729" w:rsidRPr="00903BCB">
        <w:rPr>
          <w:sz w:val="24"/>
          <w:szCs w:val="24"/>
        </w:rPr>
        <w:t xml:space="preserve">Jordan is consistent with the type of centrally driven process—promoted by both </w:t>
      </w:r>
      <w:r w:rsidR="00EA654A" w:rsidRPr="00903BCB">
        <w:rPr>
          <w:sz w:val="24"/>
          <w:szCs w:val="24"/>
        </w:rPr>
        <w:t xml:space="preserve">national </w:t>
      </w:r>
      <w:r w:rsidR="004E0729" w:rsidRPr="00903BCB">
        <w:rPr>
          <w:sz w:val="24"/>
          <w:szCs w:val="24"/>
        </w:rPr>
        <w:t>politicians and international organizations—that focuses on administrati</w:t>
      </w:r>
      <w:r w:rsidRPr="00903BCB">
        <w:rPr>
          <w:sz w:val="24"/>
          <w:szCs w:val="24"/>
        </w:rPr>
        <w:t>ve</w:t>
      </w:r>
      <w:r w:rsidR="004E0729" w:rsidRPr="00903BCB">
        <w:rPr>
          <w:sz w:val="24"/>
          <w:szCs w:val="24"/>
        </w:rPr>
        <w:t xml:space="preserve"> decentralization </w:t>
      </w:r>
      <w:r w:rsidR="004D710D" w:rsidRPr="00903BCB">
        <w:rPr>
          <w:sz w:val="24"/>
          <w:szCs w:val="24"/>
        </w:rPr>
        <w:t>(i.e., policies that transfer the administration and delivery of social services such as education, health, social welfare, or housing to subnational governments)</w:t>
      </w:r>
      <w:r w:rsidR="00387780" w:rsidRPr="00903BCB">
        <w:rPr>
          <w:sz w:val="24"/>
          <w:szCs w:val="24"/>
        </w:rPr>
        <w:t xml:space="preserve">. </w:t>
      </w:r>
      <w:r w:rsidR="004E0729" w:rsidRPr="00903BCB">
        <w:rPr>
          <w:sz w:val="24"/>
          <w:szCs w:val="24"/>
        </w:rPr>
        <w:t>Falleti</w:t>
      </w:r>
      <w:r w:rsidR="00EA654A" w:rsidRPr="00903BCB">
        <w:rPr>
          <w:sz w:val="24"/>
          <w:szCs w:val="24"/>
        </w:rPr>
        <w:t>’s theory suggests</w:t>
      </w:r>
      <w:r w:rsidR="004E0729" w:rsidRPr="00903BCB">
        <w:rPr>
          <w:sz w:val="24"/>
          <w:szCs w:val="24"/>
        </w:rPr>
        <w:t xml:space="preserve"> that</w:t>
      </w:r>
      <w:r w:rsidR="004D710D" w:rsidRPr="00903BCB">
        <w:rPr>
          <w:sz w:val="24"/>
          <w:szCs w:val="24"/>
        </w:rPr>
        <w:t xml:space="preserve"> </w:t>
      </w:r>
      <w:r w:rsidR="004E0729" w:rsidRPr="00903BCB">
        <w:rPr>
          <w:sz w:val="24"/>
          <w:szCs w:val="24"/>
        </w:rPr>
        <w:t xml:space="preserve">this </w:t>
      </w:r>
      <w:r w:rsidR="006658AF" w:rsidRPr="00903BCB">
        <w:rPr>
          <w:sz w:val="24"/>
          <w:szCs w:val="24"/>
        </w:rPr>
        <w:t xml:space="preserve">approach </w:t>
      </w:r>
      <w:r w:rsidR="004E0729" w:rsidRPr="00903BCB">
        <w:rPr>
          <w:sz w:val="24"/>
          <w:szCs w:val="24"/>
        </w:rPr>
        <w:t xml:space="preserve">is likely to </w:t>
      </w:r>
      <w:r w:rsidR="00F1413D" w:rsidRPr="00903BCB">
        <w:rPr>
          <w:sz w:val="24"/>
          <w:szCs w:val="24"/>
        </w:rPr>
        <w:t>result in a relatively low change in the intergovernmental balance of power</w:t>
      </w:r>
      <w:r w:rsidR="004E0729" w:rsidRPr="00903BCB">
        <w:rPr>
          <w:sz w:val="24"/>
          <w:szCs w:val="24"/>
        </w:rPr>
        <w:t xml:space="preserve"> </w:t>
      </w:r>
      <w:r w:rsidR="0007022E" w:rsidRPr="00903BCB">
        <w:rPr>
          <w:sz w:val="24"/>
          <w:szCs w:val="24"/>
        </w:rPr>
        <w:t xml:space="preserve">because to offload responsibilities without transferring </w:t>
      </w:r>
      <w:r w:rsidRPr="00903BCB">
        <w:rPr>
          <w:sz w:val="24"/>
          <w:szCs w:val="24"/>
        </w:rPr>
        <w:t xml:space="preserve">the necessary </w:t>
      </w:r>
      <w:r w:rsidR="0007022E" w:rsidRPr="00903BCB">
        <w:rPr>
          <w:sz w:val="24"/>
          <w:szCs w:val="24"/>
        </w:rPr>
        <w:t xml:space="preserve">fiscal resources strengthens </w:t>
      </w:r>
      <w:r w:rsidRPr="00903BCB">
        <w:rPr>
          <w:sz w:val="24"/>
          <w:szCs w:val="24"/>
        </w:rPr>
        <w:t xml:space="preserve">the central government’s </w:t>
      </w:r>
      <w:r w:rsidR="0007022E" w:rsidRPr="00903BCB">
        <w:rPr>
          <w:sz w:val="24"/>
          <w:szCs w:val="24"/>
        </w:rPr>
        <w:t>dominance over subnational governments. Under fiscal strain, subnational governors will not only tend to align more with the national ex</w:t>
      </w:r>
      <w:r w:rsidR="00162F34" w:rsidRPr="00903BCB">
        <w:rPr>
          <w:sz w:val="24"/>
          <w:szCs w:val="24"/>
        </w:rPr>
        <w:t>ecuti</w:t>
      </w:r>
      <w:r w:rsidR="000E52C4" w:rsidRPr="00903BCB">
        <w:rPr>
          <w:sz w:val="24"/>
          <w:szCs w:val="24"/>
        </w:rPr>
        <w:t>ves</w:t>
      </w:r>
      <w:r w:rsidR="00001BBE" w:rsidRPr="00903BCB">
        <w:rPr>
          <w:sz w:val="24"/>
          <w:szCs w:val="24"/>
        </w:rPr>
        <w:t>,</w:t>
      </w:r>
      <w:r w:rsidR="000E52C4" w:rsidRPr="00903BCB">
        <w:rPr>
          <w:sz w:val="24"/>
          <w:szCs w:val="24"/>
        </w:rPr>
        <w:t xml:space="preserve"> but will also lose legitimacy vis-</w:t>
      </w:r>
      <w:r w:rsidR="00FF6BD8" w:rsidRPr="00903BCB">
        <w:rPr>
          <w:sz w:val="24"/>
          <w:szCs w:val="24"/>
        </w:rPr>
        <w:t>à</w:t>
      </w:r>
      <w:r w:rsidR="000E52C4" w:rsidRPr="00903BCB">
        <w:rPr>
          <w:sz w:val="24"/>
          <w:szCs w:val="24"/>
        </w:rPr>
        <w:t>-vis</w:t>
      </w:r>
      <w:r w:rsidR="00162F34" w:rsidRPr="00903BCB">
        <w:rPr>
          <w:sz w:val="24"/>
          <w:szCs w:val="24"/>
        </w:rPr>
        <w:t xml:space="preserve"> their constit</w:t>
      </w:r>
      <w:r w:rsidR="00AF219F" w:rsidRPr="00903BCB">
        <w:rPr>
          <w:sz w:val="24"/>
          <w:szCs w:val="24"/>
        </w:rPr>
        <w:t>uencies, w</w:t>
      </w:r>
      <w:r w:rsidR="00B8259B" w:rsidRPr="00903BCB">
        <w:rPr>
          <w:sz w:val="24"/>
          <w:szCs w:val="24"/>
        </w:rPr>
        <w:t>ho</w:t>
      </w:r>
      <w:r w:rsidR="00162F34" w:rsidRPr="00903BCB">
        <w:rPr>
          <w:sz w:val="24"/>
          <w:szCs w:val="24"/>
        </w:rPr>
        <w:t xml:space="preserve"> in tu</w:t>
      </w:r>
      <w:r w:rsidR="000E52C4" w:rsidRPr="00903BCB">
        <w:rPr>
          <w:sz w:val="24"/>
          <w:szCs w:val="24"/>
        </w:rPr>
        <w:t>rn</w:t>
      </w:r>
      <w:r w:rsidR="00B8259B" w:rsidRPr="00903BCB">
        <w:rPr>
          <w:sz w:val="24"/>
          <w:szCs w:val="24"/>
        </w:rPr>
        <w:t xml:space="preserve"> </w:t>
      </w:r>
      <w:r w:rsidR="00C97CF1" w:rsidRPr="00903BCB">
        <w:rPr>
          <w:sz w:val="24"/>
          <w:szCs w:val="24"/>
        </w:rPr>
        <w:t>will put</w:t>
      </w:r>
      <w:r w:rsidR="00B8259B" w:rsidRPr="00903BCB">
        <w:rPr>
          <w:sz w:val="24"/>
          <w:szCs w:val="24"/>
        </w:rPr>
        <w:t xml:space="preserve"> less value</w:t>
      </w:r>
      <w:r w:rsidR="000E52C4" w:rsidRPr="00903BCB">
        <w:rPr>
          <w:sz w:val="24"/>
          <w:szCs w:val="24"/>
        </w:rPr>
        <w:t xml:space="preserve"> </w:t>
      </w:r>
      <w:r w:rsidR="00B8259B" w:rsidRPr="00903BCB">
        <w:rPr>
          <w:sz w:val="24"/>
          <w:szCs w:val="24"/>
        </w:rPr>
        <w:t xml:space="preserve">on </w:t>
      </w:r>
      <w:r w:rsidR="00AF219F" w:rsidRPr="00903BCB">
        <w:rPr>
          <w:sz w:val="24"/>
          <w:szCs w:val="24"/>
        </w:rPr>
        <w:t xml:space="preserve">the </w:t>
      </w:r>
      <w:r w:rsidR="00162F34" w:rsidRPr="00903BCB">
        <w:rPr>
          <w:sz w:val="24"/>
          <w:szCs w:val="24"/>
        </w:rPr>
        <w:t>decentralization</w:t>
      </w:r>
      <w:r w:rsidR="00AF219F" w:rsidRPr="00903BCB">
        <w:rPr>
          <w:sz w:val="24"/>
          <w:szCs w:val="24"/>
        </w:rPr>
        <w:t xml:space="preserve"> </w:t>
      </w:r>
      <w:r w:rsidR="00B8259B" w:rsidRPr="00903BCB">
        <w:rPr>
          <w:sz w:val="24"/>
          <w:szCs w:val="24"/>
        </w:rPr>
        <w:t xml:space="preserve">process </w:t>
      </w:r>
      <w:r w:rsidR="00AF219F" w:rsidRPr="00903BCB">
        <w:rPr>
          <w:sz w:val="24"/>
          <w:szCs w:val="24"/>
        </w:rPr>
        <w:t>itself</w:t>
      </w:r>
      <w:r w:rsidR="00162F34" w:rsidRPr="00903BCB">
        <w:rPr>
          <w:sz w:val="24"/>
          <w:szCs w:val="24"/>
        </w:rPr>
        <w:t xml:space="preserve">. </w:t>
      </w:r>
    </w:p>
    <w:p w14:paraId="2C944A08" w14:textId="77777777" w:rsidR="00035B50" w:rsidRPr="00903BCB" w:rsidRDefault="00035B50" w:rsidP="000B5C68">
      <w:pPr>
        <w:spacing w:line="360" w:lineRule="auto"/>
        <w:ind w:left="0" w:right="0"/>
        <w:rPr>
          <w:sz w:val="24"/>
          <w:szCs w:val="24"/>
        </w:rPr>
      </w:pPr>
    </w:p>
    <w:p w14:paraId="4FE8F051" w14:textId="750732AE" w:rsidR="002C25FF" w:rsidRPr="00903BCB" w:rsidRDefault="002F1C84" w:rsidP="000B5C68">
      <w:pPr>
        <w:spacing w:line="360" w:lineRule="auto"/>
        <w:ind w:left="0" w:right="0"/>
        <w:rPr>
          <w:sz w:val="24"/>
          <w:szCs w:val="24"/>
        </w:rPr>
      </w:pPr>
      <w:r w:rsidRPr="00903BCB">
        <w:rPr>
          <w:sz w:val="24"/>
          <w:szCs w:val="24"/>
        </w:rPr>
        <w:t xml:space="preserve">The lack of local technical capacity to organize and deliver social </w:t>
      </w:r>
      <w:r w:rsidR="002C25FF" w:rsidRPr="00903BCB">
        <w:rPr>
          <w:sz w:val="24"/>
          <w:szCs w:val="24"/>
        </w:rPr>
        <w:t xml:space="preserve">services </w:t>
      </w:r>
      <w:r w:rsidRPr="00903BCB">
        <w:rPr>
          <w:sz w:val="24"/>
          <w:szCs w:val="24"/>
        </w:rPr>
        <w:t xml:space="preserve">could be </w:t>
      </w:r>
      <w:r w:rsidR="004E0729" w:rsidRPr="00903BCB">
        <w:rPr>
          <w:sz w:val="24"/>
          <w:szCs w:val="24"/>
        </w:rPr>
        <w:t xml:space="preserve">seen as </w:t>
      </w:r>
      <w:r w:rsidR="00EC4044" w:rsidRPr="00903BCB">
        <w:rPr>
          <w:sz w:val="24"/>
          <w:szCs w:val="24"/>
        </w:rPr>
        <w:t>a</w:t>
      </w:r>
      <w:r w:rsidRPr="00903BCB">
        <w:rPr>
          <w:sz w:val="24"/>
          <w:szCs w:val="24"/>
        </w:rPr>
        <w:t xml:space="preserve"> possible explanat</w:t>
      </w:r>
      <w:r w:rsidR="00FF6BD8" w:rsidRPr="00903BCB">
        <w:rPr>
          <w:sz w:val="24"/>
          <w:szCs w:val="24"/>
        </w:rPr>
        <w:t xml:space="preserve">ion for the fact that </w:t>
      </w:r>
      <w:r w:rsidRPr="00903BCB">
        <w:rPr>
          <w:sz w:val="24"/>
          <w:szCs w:val="24"/>
        </w:rPr>
        <w:t>political discourse</w:t>
      </w:r>
      <w:r w:rsidR="00FF6BD8" w:rsidRPr="00903BCB">
        <w:rPr>
          <w:sz w:val="24"/>
          <w:szCs w:val="24"/>
        </w:rPr>
        <w:t xml:space="preserve"> in Jordan</w:t>
      </w:r>
      <w:r w:rsidRPr="00903BCB">
        <w:rPr>
          <w:sz w:val="24"/>
          <w:szCs w:val="24"/>
        </w:rPr>
        <w:t xml:space="preserve"> is so focused on administrative decentralization.</w:t>
      </w:r>
      <w:r w:rsidR="00E74563" w:rsidRPr="00903BCB">
        <w:rPr>
          <w:sz w:val="24"/>
          <w:szCs w:val="24"/>
        </w:rPr>
        <w:t xml:space="preserve"> After all, governorates need skilled pub</w:t>
      </w:r>
      <w:r w:rsidR="00EC4044" w:rsidRPr="00903BCB">
        <w:rPr>
          <w:sz w:val="24"/>
          <w:szCs w:val="24"/>
        </w:rPr>
        <w:t>l</w:t>
      </w:r>
      <w:r w:rsidR="00E74563" w:rsidRPr="00903BCB">
        <w:rPr>
          <w:sz w:val="24"/>
          <w:szCs w:val="24"/>
        </w:rPr>
        <w:t>ic officers to serv</w:t>
      </w:r>
      <w:r w:rsidR="00FF6BD8" w:rsidRPr="00903BCB">
        <w:rPr>
          <w:sz w:val="24"/>
          <w:szCs w:val="24"/>
        </w:rPr>
        <w:t>e</w:t>
      </w:r>
      <w:r w:rsidR="00E74563" w:rsidRPr="00903BCB">
        <w:rPr>
          <w:sz w:val="24"/>
          <w:szCs w:val="24"/>
        </w:rPr>
        <w:t xml:space="preserve"> their communities.</w:t>
      </w:r>
      <w:r w:rsidR="004A042B" w:rsidRPr="00903BCB">
        <w:rPr>
          <w:sz w:val="24"/>
          <w:szCs w:val="24"/>
        </w:rPr>
        <w:t xml:space="preserve"> However, this </w:t>
      </w:r>
      <w:r w:rsidR="00CC1430" w:rsidRPr="00903BCB">
        <w:rPr>
          <w:sz w:val="24"/>
          <w:szCs w:val="24"/>
        </w:rPr>
        <w:t>can</w:t>
      </w:r>
      <w:r w:rsidR="004A042B" w:rsidRPr="00903BCB">
        <w:rPr>
          <w:sz w:val="24"/>
          <w:szCs w:val="24"/>
        </w:rPr>
        <w:t>not</w:t>
      </w:r>
      <w:r w:rsidR="00CC1430" w:rsidRPr="00903BCB">
        <w:rPr>
          <w:sz w:val="24"/>
          <w:szCs w:val="24"/>
        </w:rPr>
        <w:t xml:space="preserve"> be</w:t>
      </w:r>
      <w:r w:rsidR="004A042B" w:rsidRPr="00903BCB">
        <w:rPr>
          <w:sz w:val="24"/>
          <w:szCs w:val="24"/>
        </w:rPr>
        <w:t xml:space="preserve"> </w:t>
      </w:r>
      <w:r w:rsidR="00EA654A" w:rsidRPr="00903BCB">
        <w:rPr>
          <w:sz w:val="24"/>
          <w:szCs w:val="24"/>
        </w:rPr>
        <w:t xml:space="preserve">considered </w:t>
      </w:r>
      <w:r w:rsidR="004A042B" w:rsidRPr="00903BCB">
        <w:rPr>
          <w:sz w:val="24"/>
          <w:szCs w:val="24"/>
        </w:rPr>
        <w:t>a valid argument</w:t>
      </w:r>
      <w:r w:rsidR="00BE5813" w:rsidRPr="00903BCB">
        <w:rPr>
          <w:sz w:val="24"/>
          <w:szCs w:val="24"/>
        </w:rPr>
        <w:t xml:space="preserve"> </w:t>
      </w:r>
      <w:r w:rsidR="00C97CF1" w:rsidRPr="00903BCB">
        <w:rPr>
          <w:sz w:val="24"/>
          <w:szCs w:val="24"/>
        </w:rPr>
        <w:t>since</w:t>
      </w:r>
      <w:r w:rsidR="00FF6BD8" w:rsidRPr="00903BCB">
        <w:rPr>
          <w:sz w:val="24"/>
          <w:szCs w:val="24"/>
        </w:rPr>
        <w:t>,</w:t>
      </w:r>
      <w:r w:rsidR="00C97CF1" w:rsidRPr="00903BCB">
        <w:rPr>
          <w:sz w:val="24"/>
          <w:szCs w:val="24"/>
        </w:rPr>
        <w:t xml:space="preserve"> according to the </w:t>
      </w:r>
      <w:r w:rsidR="000B5C68" w:rsidRPr="00903BCB">
        <w:rPr>
          <w:sz w:val="24"/>
          <w:szCs w:val="24"/>
        </w:rPr>
        <w:t>current governorate administrative structure</w:t>
      </w:r>
      <w:r w:rsidR="004A042B" w:rsidRPr="00903BCB">
        <w:rPr>
          <w:sz w:val="24"/>
          <w:szCs w:val="24"/>
        </w:rPr>
        <w:t>,</w:t>
      </w:r>
      <w:r w:rsidR="007D53C0" w:rsidRPr="00903BCB">
        <w:rPr>
          <w:sz w:val="24"/>
          <w:szCs w:val="24"/>
        </w:rPr>
        <w:t xml:space="preserve"> </w:t>
      </w:r>
      <w:r w:rsidR="000B5C68" w:rsidRPr="00903BCB">
        <w:rPr>
          <w:sz w:val="24"/>
          <w:szCs w:val="24"/>
        </w:rPr>
        <w:t>line ministr</w:t>
      </w:r>
      <w:r w:rsidR="00001BBE" w:rsidRPr="00903BCB">
        <w:rPr>
          <w:sz w:val="24"/>
          <w:szCs w:val="24"/>
        </w:rPr>
        <w:t>y</w:t>
      </w:r>
      <w:r w:rsidR="000B5C68" w:rsidRPr="00903BCB">
        <w:rPr>
          <w:sz w:val="24"/>
          <w:szCs w:val="24"/>
        </w:rPr>
        <w:t xml:space="preserve"> </w:t>
      </w:r>
      <w:r w:rsidR="004A042B" w:rsidRPr="00903BCB">
        <w:rPr>
          <w:sz w:val="24"/>
          <w:szCs w:val="24"/>
        </w:rPr>
        <w:t>experts</w:t>
      </w:r>
      <w:r w:rsidR="00EC4044" w:rsidRPr="00903BCB">
        <w:rPr>
          <w:sz w:val="24"/>
          <w:szCs w:val="24"/>
        </w:rPr>
        <w:t>,</w:t>
      </w:r>
      <w:r w:rsidR="004A042B" w:rsidRPr="00903BCB">
        <w:rPr>
          <w:sz w:val="24"/>
          <w:szCs w:val="24"/>
        </w:rPr>
        <w:t xml:space="preserve"> based </w:t>
      </w:r>
      <w:r w:rsidR="00EC4044" w:rsidRPr="00903BCB">
        <w:rPr>
          <w:sz w:val="24"/>
          <w:szCs w:val="24"/>
        </w:rPr>
        <w:t>in</w:t>
      </w:r>
      <w:r w:rsidR="00281571" w:rsidRPr="00903BCB">
        <w:rPr>
          <w:sz w:val="24"/>
          <w:szCs w:val="24"/>
        </w:rPr>
        <w:t xml:space="preserve"> the governorates</w:t>
      </w:r>
      <w:r w:rsidR="00EC4044" w:rsidRPr="00903BCB">
        <w:rPr>
          <w:sz w:val="24"/>
          <w:szCs w:val="24"/>
        </w:rPr>
        <w:t>,</w:t>
      </w:r>
      <w:r w:rsidR="00281571" w:rsidRPr="00903BCB">
        <w:rPr>
          <w:sz w:val="24"/>
          <w:szCs w:val="24"/>
        </w:rPr>
        <w:t xml:space="preserve"> </w:t>
      </w:r>
      <w:r w:rsidR="00220C82" w:rsidRPr="00903BCB">
        <w:rPr>
          <w:sz w:val="24"/>
          <w:szCs w:val="24"/>
        </w:rPr>
        <w:t xml:space="preserve">fulfill </w:t>
      </w:r>
      <w:r w:rsidR="00281571" w:rsidRPr="00903BCB">
        <w:rPr>
          <w:sz w:val="24"/>
          <w:szCs w:val="24"/>
        </w:rPr>
        <w:t>th</w:t>
      </w:r>
      <w:r w:rsidR="00EA654A" w:rsidRPr="00903BCB">
        <w:rPr>
          <w:sz w:val="24"/>
          <w:szCs w:val="24"/>
        </w:rPr>
        <w:t>e requirement for</w:t>
      </w:r>
      <w:r w:rsidR="00220C82" w:rsidRPr="00903BCB">
        <w:rPr>
          <w:sz w:val="24"/>
          <w:szCs w:val="24"/>
        </w:rPr>
        <w:t xml:space="preserve"> “localized” technical capacity. </w:t>
      </w:r>
    </w:p>
    <w:p w14:paraId="36584458" w14:textId="77777777" w:rsidR="0007022E" w:rsidRPr="00903BCB" w:rsidRDefault="0007022E" w:rsidP="00623945">
      <w:pPr>
        <w:spacing w:line="360" w:lineRule="auto"/>
        <w:ind w:left="0" w:right="0"/>
        <w:rPr>
          <w:sz w:val="24"/>
          <w:szCs w:val="24"/>
        </w:rPr>
      </w:pPr>
    </w:p>
    <w:p w14:paraId="401FBC75" w14:textId="1BBB9CD8" w:rsidR="00337D46" w:rsidRPr="00903BCB" w:rsidRDefault="005D07C4" w:rsidP="00623945">
      <w:pPr>
        <w:spacing w:line="360" w:lineRule="auto"/>
        <w:ind w:left="0" w:right="0"/>
        <w:rPr>
          <w:sz w:val="24"/>
          <w:szCs w:val="24"/>
        </w:rPr>
      </w:pPr>
      <w:r w:rsidRPr="00903BCB">
        <w:rPr>
          <w:sz w:val="24"/>
          <w:szCs w:val="24"/>
        </w:rPr>
        <w:t xml:space="preserve">Two </w:t>
      </w:r>
      <w:r w:rsidR="008A3F05" w:rsidRPr="00903BCB">
        <w:rPr>
          <w:sz w:val="24"/>
          <w:szCs w:val="24"/>
        </w:rPr>
        <w:t>conclusions can be derived</w:t>
      </w:r>
      <w:r w:rsidRPr="00903BCB">
        <w:rPr>
          <w:sz w:val="24"/>
          <w:szCs w:val="24"/>
        </w:rPr>
        <w:t xml:space="preserve"> from this initial analysis. First, it is </w:t>
      </w:r>
      <w:r w:rsidR="00882433" w:rsidRPr="00903BCB">
        <w:rPr>
          <w:sz w:val="24"/>
          <w:szCs w:val="24"/>
        </w:rPr>
        <w:t xml:space="preserve">theoretically understandable </w:t>
      </w:r>
      <w:r w:rsidRPr="00903BCB">
        <w:rPr>
          <w:sz w:val="24"/>
          <w:szCs w:val="24"/>
        </w:rPr>
        <w:t xml:space="preserve">that administrative decentralization </w:t>
      </w:r>
      <w:r w:rsidR="00BB2993" w:rsidRPr="00903BCB">
        <w:rPr>
          <w:sz w:val="24"/>
          <w:szCs w:val="24"/>
        </w:rPr>
        <w:t xml:space="preserve">became a </w:t>
      </w:r>
      <w:r w:rsidRPr="00903BCB">
        <w:rPr>
          <w:sz w:val="24"/>
          <w:szCs w:val="24"/>
        </w:rPr>
        <w:t xml:space="preserve">political </w:t>
      </w:r>
      <w:r w:rsidR="00BB2993" w:rsidRPr="00903BCB">
        <w:rPr>
          <w:sz w:val="24"/>
          <w:szCs w:val="24"/>
        </w:rPr>
        <w:t>prerogative</w:t>
      </w:r>
      <w:r w:rsidR="002C02FF" w:rsidRPr="00903BCB">
        <w:rPr>
          <w:sz w:val="24"/>
          <w:szCs w:val="24"/>
        </w:rPr>
        <w:t xml:space="preserve"> </w:t>
      </w:r>
      <w:r w:rsidRPr="00903BCB">
        <w:rPr>
          <w:sz w:val="24"/>
          <w:szCs w:val="24"/>
        </w:rPr>
        <w:t xml:space="preserve">in Jordan. Second, if the </w:t>
      </w:r>
      <w:r w:rsidR="00BB2993" w:rsidRPr="00903BCB">
        <w:rPr>
          <w:sz w:val="24"/>
          <w:szCs w:val="24"/>
        </w:rPr>
        <w:t xml:space="preserve">stated </w:t>
      </w:r>
      <w:r w:rsidRPr="00903BCB">
        <w:rPr>
          <w:sz w:val="24"/>
          <w:szCs w:val="24"/>
        </w:rPr>
        <w:t xml:space="preserve">aim of decentralization </w:t>
      </w:r>
      <w:r w:rsidR="00882433" w:rsidRPr="00903BCB">
        <w:rPr>
          <w:sz w:val="24"/>
          <w:szCs w:val="24"/>
        </w:rPr>
        <w:t>in Jordan</w:t>
      </w:r>
      <w:r w:rsidRPr="00903BCB">
        <w:rPr>
          <w:sz w:val="24"/>
          <w:szCs w:val="24"/>
        </w:rPr>
        <w:t xml:space="preserve"> is to</w:t>
      </w:r>
      <w:r w:rsidR="008A3F05" w:rsidRPr="00903BCB">
        <w:rPr>
          <w:sz w:val="24"/>
          <w:szCs w:val="24"/>
        </w:rPr>
        <w:t xml:space="preserve"> foster political development,</w:t>
      </w:r>
      <w:r w:rsidR="00BE5813" w:rsidRPr="00903BCB">
        <w:rPr>
          <w:sz w:val="24"/>
          <w:szCs w:val="24"/>
        </w:rPr>
        <w:t xml:space="preserve"> </w:t>
      </w:r>
      <w:r w:rsidR="008D74C8" w:rsidRPr="00903BCB">
        <w:rPr>
          <w:sz w:val="24"/>
          <w:szCs w:val="24"/>
        </w:rPr>
        <w:t xml:space="preserve">then </w:t>
      </w:r>
      <w:r w:rsidR="00105A9A" w:rsidRPr="00903BCB">
        <w:rPr>
          <w:sz w:val="24"/>
          <w:szCs w:val="24"/>
        </w:rPr>
        <w:t xml:space="preserve">public sector performance and </w:t>
      </w:r>
      <w:r w:rsidR="008A3F05" w:rsidRPr="00903BCB">
        <w:rPr>
          <w:sz w:val="24"/>
          <w:szCs w:val="24"/>
        </w:rPr>
        <w:t>great</w:t>
      </w:r>
      <w:r w:rsidR="00105A9A" w:rsidRPr="00903BCB">
        <w:rPr>
          <w:sz w:val="24"/>
          <w:szCs w:val="24"/>
        </w:rPr>
        <w:t>er</w:t>
      </w:r>
      <w:r w:rsidR="008A3F05" w:rsidRPr="00903BCB">
        <w:rPr>
          <w:sz w:val="24"/>
          <w:szCs w:val="24"/>
        </w:rPr>
        <w:t xml:space="preserve"> popular participation</w:t>
      </w:r>
      <w:r w:rsidR="00105A9A" w:rsidRPr="00903BCB">
        <w:rPr>
          <w:sz w:val="24"/>
          <w:szCs w:val="24"/>
        </w:rPr>
        <w:t xml:space="preserve"> </w:t>
      </w:r>
      <w:r w:rsidR="008D74C8" w:rsidRPr="00903BCB">
        <w:rPr>
          <w:sz w:val="24"/>
          <w:szCs w:val="24"/>
        </w:rPr>
        <w:t xml:space="preserve">in </w:t>
      </w:r>
      <w:r w:rsidR="00105A9A" w:rsidRPr="00903BCB">
        <w:rPr>
          <w:sz w:val="24"/>
          <w:szCs w:val="24"/>
        </w:rPr>
        <w:t xml:space="preserve">the sequencing of decentralization </w:t>
      </w:r>
      <w:r w:rsidR="00E25485" w:rsidRPr="00903BCB">
        <w:rPr>
          <w:sz w:val="24"/>
          <w:szCs w:val="24"/>
        </w:rPr>
        <w:t xml:space="preserve">in Jordan has to be </w:t>
      </w:r>
      <w:r w:rsidR="006B393B" w:rsidRPr="00903BCB">
        <w:rPr>
          <w:sz w:val="24"/>
          <w:szCs w:val="24"/>
        </w:rPr>
        <w:t>given greater attention</w:t>
      </w:r>
      <w:r w:rsidR="00E25485" w:rsidRPr="00903BCB">
        <w:rPr>
          <w:sz w:val="24"/>
          <w:szCs w:val="24"/>
        </w:rPr>
        <w:t>.</w:t>
      </w:r>
    </w:p>
    <w:p w14:paraId="6BCE33A9" w14:textId="2F6BB90A" w:rsidR="00E65041" w:rsidRPr="00903BCB" w:rsidRDefault="00E25485" w:rsidP="00623945">
      <w:pPr>
        <w:spacing w:line="360" w:lineRule="auto"/>
        <w:ind w:left="0" w:right="0"/>
        <w:rPr>
          <w:sz w:val="24"/>
          <w:szCs w:val="24"/>
        </w:rPr>
      </w:pPr>
      <w:r w:rsidRPr="00903BCB">
        <w:rPr>
          <w:sz w:val="24"/>
          <w:szCs w:val="24"/>
        </w:rPr>
        <w:t xml:space="preserve"> </w:t>
      </w:r>
    </w:p>
    <w:p w14:paraId="128518A6" w14:textId="0D979F99" w:rsidR="004D710D" w:rsidRPr="00903BCB" w:rsidRDefault="003F0E6C" w:rsidP="00142299">
      <w:pPr>
        <w:pStyle w:val="MediumGrid1-Accent21"/>
        <w:spacing w:line="360" w:lineRule="auto"/>
        <w:ind w:left="0" w:right="0"/>
        <w:rPr>
          <w:sz w:val="24"/>
          <w:szCs w:val="24"/>
        </w:rPr>
      </w:pPr>
      <w:r w:rsidRPr="00903BCB">
        <w:rPr>
          <w:sz w:val="24"/>
          <w:szCs w:val="24"/>
        </w:rPr>
        <w:t>Thus far</w:t>
      </w:r>
      <w:r w:rsidR="00BB2993" w:rsidRPr="00903BCB">
        <w:rPr>
          <w:sz w:val="24"/>
          <w:szCs w:val="24"/>
        </w:rPr>
        <w:t xml:space="preserve"> </w:t>
      </w:r>
      <w:r w:rsidRPr="00903BCB">
        <w:rPr>
          <w:sz w:val="24"/>
          <w:szCs w:val="24"/>
        </w:rPr>
        <w:t>th</w:t>
      </w:r>
      <w:r w:rsidR="00BB2993" w:rsidRPr="00903BCB">
        <w:rPr>
          <w:sz w:val="24"/>
          <w:szCs w:val="24"/>
        </w:rPr>
        <w:t>is</w:t>
      </w:r>
      <w:r w:rsidRPr="00903BCB">
        <w:rPr>
          <w:sz w:val="24"/>
          <w:szCs w:val="24"/>
        </w:rPr>
        <w:t xml:space="preserve"> discussion has focused in broad terms on fiscal decentralization.</w:t>
      </w:r>
      <w:r w:rsidR="001632CC" w:rsidRPr="00903BCB">
        <w:rPr>
          <w:sz w:val="24"/>
          <w:szCs w:val="24"/>
        </w:rPr>
        <w:t xml:space="preserve"> </w:t>
      </w:r>
      <w:r w:rsidRPr="00903BCB">
        <w:rPr>
          <w:sz w:val="24"/>
          <w:szCs w:val="24"/>
        </w:rPr>
        <w:t xml:space="preserve">The focus </w:t>
      </w:r>
      <w:r w:rsidR="00BB2993" w:rsidRPr="00903BCB">
        <w:rPr>
          <w:sz w:val="24"/>
          <w:szCs w:val="24"/>
        </w:rPr>
        <w:t xml:space="preserve">now </w:t>
      </w:r>
      <w:r w:rsidRPr="00903BCB">
        <w:rPr>
          <w:sz w:val="24"/>
          <w:szCs w:val="24"/>
        </w:rPr>
        <w:t xml:space="preserve">turns to the more specific question of </w:t>
      </w:r>
      <w:r w:rsidR="00BB2993" w:rsidRPr="00903BCB">
        <w:rPr>
          <w:sz w:val="24"/>
          <w:szCs w:val="24"/>
        </w:rPr>
        <w:t xml:space="preserve">what </w:t>
      </w:r>
      <w:r w:rsidR="006335D6" w:rsidRPr="00903BCB">
        <w:rPr>
          <w:sz w:val="24"/>
          <w:szCs w:val="24"/>
        </w:rPr>
        <w:t xml:space="preserve">parameters should drive the </w:t>
      </w:r>
      <w:r w:rsidR="00B1034A" w:rsidRPr="00903BCB">
        <w:rPr>
          <w:sz w:val="24"/>
          <w:szCs w:val="24"/>
        </w:rPr>
        <w:t xml:space="preserve">design of </w:t>
      </w:r>
      <w:r w:rsidR="003A39D2" w:rsidRPr="00903BCB">
        <w:rPr>
          <w:sz w:val="24"/>
          <w:szCs w:val="24"/>
        </w:rPr>
        <w:t>an intergovernmental transfer formula</w:t>
      </w:r>
      <w:r w:rsidR="00EA654A" w:rsidRPr="00903BCB">
        <w:rPr>
          <w:sz w:val="24"/>
          <w:szCs w:val="24"/>
        </w:rPr>
        <w:t>. This work fills an important gap</w:t>
      </w:r>
      <w:r w:rsidR="009C0B36" w:rsidRPr="00903BCB">
        <w:rPr>
          <w:sz w:val="24"/>
          <w:szCs w:val="24"/>
        </w:rPr>
        <w:t xml:space="preserve"> since</w:t>
      </w:r>
      <w:r w:rsidR="003A39D2" w:rsidRPr="00903BCB">
        <w:rPr>
          <w:sz w:val="24"/>
          <w:szCs w:val="24"/>
        </w:rPr>
        <w:t xml:space="preserve"> current political and a</w:t>
      </w:r>
      <w:r w:rsidR="002E75C8" w:rsidRPr="00903BCB">
        <w:rPr>
          <w:sz w:val="24"/>
          <w:szCs w:val="24"/>
        </w:rPr>
        <w:t xml:space="preserve">cademic discourse </w:t>
      </w:r>
      <w:r w:rsidR="00EA654A" w:rsidRPr="00903BCB">
        <w:rPr>
          <w:sz w:val="24"/>
          <w:szCs w:val="24"/>
        </w:rPr>
        <w:t xml:space="preserve">has failed to result in an adequate </w:t>
      </w:r>
      <w:r w:rsidR="00B1034A" w:rsidRPr="00903BCB">
        <w:rPr>
          <w:sz w:val="24"/>
          <w:szCs w:val="24"/>
        </w:rPr>
        <w:t>decision-making</w:t>
      </w:r>
      <w:r w:rsidR="0019420B" w:rsidRPr="00903BCB">
        <w:rPr>
          <w:sz w:val="24"/>
          <w:szCs w:val="24"/>
        </w:rPr>
        <w:t xml:space="preserve"> </w:t>
      </w:r>
      <w:r w:rsidR="003A39D2" w:rsidRPr="00903BCB">
        <w:rPr>
          <w:sz w:val="24"/>
          <w:szCs w:val="24"/>
        </w:rPr>
        <w:t>tool</w:t>
      </w:r>
      <w:r w:rsidR="0056491F" w:rsidRPr="00903BCB">
        <w:rPr>
          <w:sz w:val="24"/>
          <w:szCs w:val="24"/>
        </w:rPr>
        <w:t xml:space="preserve"> to</w:t>
      </w:r>
      <w:r w:rsidR="003A39D2" w:rsidRPr="00903BCB">
        <w:rPr>
          <w:sz w:val="24"/>
          <w:szCs w:val="24"/>
        </w:rPr>
        <w:t xml:space="preserve"> govern</w:t>
      </w:r>
      <w:r w:rsidR="002E75C8" w:rsidRPr="00903BCB">
        <w:rPr>
          <w:sz w:val="24"/>
          <w:szCs w:val="24"/>
        </w:rPr>
        <w:t xml:space="preserve"> </w:t>
      </w:r>
      <w:r w:rsidR="0087203E" w:rsidRPr="00903BCB">
        <w:rPr>
          <w:sz w:val="24"/>
          <w:szCs w:val="24"/>
        </w:rPr>
        <w:t xml:space="preserve">fiscal transfers from the national to governorate level </w:t>
      </w:r>
      <w:r w:rsidR="003A39D2" w:rsidRPr="00903BCB">
        <w:rPr>
          <w:sz w:val="24"/>
          <w:szCs w:val="24"/>
        </w:rPr>
        <w:t>.</w:t>
      </w:r>
      <w:r w:rsidR="00EA654A" w:rsidRPr="00903BCB">
        <w:rPr>
          <w:sz w:val="24"/>
          <w:szCs w:val="24"/>
        </w:rPr>
        <w:t xml:space="preserve"> </w:t>
      </w:r>
    </w:p>
    <w:p w14:paraId="170F451D" w14:textId="77777777" w:rsidR="00D71835" w:rsidRPr="00903BCB" w:rsidRDefault="00D71835" w:rsidP="00623945">
      <w:pPr>
        <w:spacing w:line="360" w:lineRule="auto"/>
        <w:ind w:left="0" w:right="0"/>
        <w:rPr>
          <w:sz w:val="24"/>
          <w:szCs w:val="24"/>
        </w:rPr>
      </w:pPr>
    </w:p>
    <w:p w14:paraId="3FDB34D7" w14:textId="42081CA1" w:rsidR="004C003F" w:rsidRPr="00903BCB" w:rsidRDefault="00824AD7" w:rsidP="00623945">
      <w:pPr>
        <w:spacing w:line="360" w:lineRule="auto"/>
        <w:ind w:left="0" w:right="0"/>
        <w:rPr>
          <w:b/>
          <w:sz w:val="24"/>
          <w:szCs w:val="24"/>
        </w:rPr>
      </w:pPr>
      <w:r w:rsidRPr="00903BCB">
        <w:rPr>
          <w:b/>
          <w:sz w:val="24"/>
          <w:szCs w:val="24"/>
        </w:rPr>
        <w:t>4</w:t>
      </w:r>
      <w:r w:rsidR="00ED5CE5" w:rsidRPr="00903BCB">
        <w:rPr>
          <w:b/>
          <w:sz w:val="24"/>
          <w:szCs w:val="24"/>
        </w:rPr>
        <w:t>.</w:t>
      </w:r>
      <w:r w:rsidR="00901400" w:rsidRPr="00903BCB">
        <w:rPr>
          <w:b/>
          <w:sz w:val="24"/>
          <w:szCs w:val="24"/>
        </w:rPr>
        <w:t xml:space="preserve"> </w:t>
      </w:r>
      <w:r w:rsidR="002E75C8" w:rsidRPr="00903BCB">
        <w:rPr>
          <w:b/>
          <w:sz w:val="24"/>
          <w:szCs w:val="24"/>
        </w:rPr>
        <w:t xml:space="preserve">A Formula </w:t>
      </w:r>
      <w:r w:rsidR="005A576A" w:rsidRPr="00903BCB">
        <w:rPr>
          <w:b/>
          <w:sz w:val="24"/>
          <w:szCs w:val="24"/>
        </w:rPr>
        <w:t>W</w:t>
      </w:r>
      <w:r w:rsidR="002E75C8" w:rsidRPr="00903BCB">
        <w:rPr>
          <w:b/>
          <w:sz w:val="24"/>
          <w:szCs w:val="24"/>
        </w:rPr>
        <w:t>ithin the C</w:t>
      </w:r>
      <w:r w:rsidR="00A75908" w:rsidRPr="00903BCB">
        <w:rPr>
          <w:b/>
          <w:sz w:val="24"/>
          <w:szCs w:val="24"/>
        </w:rPr>
        <w:t xml:space="preserve">ontext </w:t>
      </w:r>
      <w:r w:rsidR="002E75C8" w:rsidRPr="00903BCB">
        <w:rPr>
          <w:b/>
          <w:sz w:val="24"/>
          <w:szCs w:val="24"/>
        </w:rPr>
        <w:t xml:space="preserve">of </w:t>
      </w:r>
      <w:r w:rsidR="004C003F" w:rsidRPr="00903BCB">
        <w:rPr>
          <w:b/>
          <w:sz w:val="24"/>
          <w:szCs w:val="24"/>
        </w:rPr>
        <w:t>Fiscal Decentralization</w:t>
      </w:r>
      <w:r w:rsidR="00C703D6" w:rsidRPr="00903BCB">
        <w:rPr>
          <w:b/>
          <w:sz w:val="24"/>
          <w:szCs w:val="24"/>
        </w:rPr>
        <w:t xml:space="preserve"> in Jordan</w:t>
      </w:r>
    </w:p>
    <w:p w14:paraId="5786E4A3" w14:textId="24D2A486" w:rsidR="00943F19" w:rsidRPr="00903BCB" w:rsidRDefault="002E75C8" w:rsidP="00623945">
      <w:pPr>
        <w:spacing w:line="360" w:lineRule="auto"/>
        <w:ind w:left="0" w:right="0"/>
        <w:rPr>
          <w:sz w:val="24"/>
          <w:szCs w:val="24"/>
        </w:rPr>
      </w:pPr>
      <w:r w:rsidRPr="00903BCB">
        <w:rPr>
          <w:sz w:val="24"/>
          <w:szCs w:val="24"/>
        </w:rPr>
        <w:t xml:space="preserve">Fiscal decentralization can be driven by five </w:t>
      </w:r>
      <w:r w:rsidR="005A576A" w:rsidRPr="00903BCB">
        <w:rPr>
          <w:sz w:val="24"/>
          <w:szCs w:val="24"/>
        </w:rPr>
        <w:t xml:space="preserve">fundamental </w:t>
      </w:r>
      <w:r w:rsidRPr="00903BCB">
        <w:rPr>
          <w:sz w:val="24"/>
          <w:szCs w:val="24"/>
        </w:rPr>
        <w:t>types of political goals: (i) to c</w:t>
      </w:r>
      <w:r w:rsidR="00943F19" w:rsidRPr="00903BCB">
        <w:rPr>
          <w:sz w:val="24"/>
          <w:szCs w:val="24"/>
        </w:rPr>
        <w:t>los</w:t>
      </w:r>
      <w:r w:rsidRPr="00903BCB">
        <w:rPr>
          <w:sz w:val="24"/>
          <w:szCs w:val="24"/>
        </w:rPr>
        <w:t>e</w:t>
      </w:r>
      <w:r w:rsidR="00943F19" w:rsidRPr="00903BCB">
        <w:rPr>
          <w:sz w:val="24"/>
          <w:szCs w:val="24"/>
        </w:rPr>
        <w:t xml:space="preserve"> the fiscal gap</w:t>
      </w:r>
      <w:r w:rsidRPr="00903BCB">
        <w:rPr>
          <w:sz w:val="24"/>
          <w:szCs w:val="24"/>
        </w:rPr>
        <w:t xml:space="preserve"> between central and subnational governments</w:t>
      </w:r>
      <w:r w:rsidR="003A1BD6" w:rsidRPr="00903BCB">
        <w:rPr>
          <w:sz w:val="24"/>
          <w:szCs w:val="24"/>
        </w:rPr>
        <w:t>;</w:t>
      </w:r>
      <w:r w:rsidR="00943F19" w:rsidRPr="00903BCB">
        <w:rPr>
          <w:sz w:val="24"/>
          <w:szCs w:val="24"/>
        </w:rPr>
        <w:t xml:space="preserve"> </w:t>
      </w:r>
      <w:r w:rsidRPr="00903BCB">
        <w:rPr>
          <w:sz w:val="24"/>
          <w:szCs w:val="24"/>
        </w:rPr>
        <w:t xml:space="preserve">(ii) </w:t>
      </w:r>
      <w:r w:rsidR="003A1BD6" w:rsidRPr="00903BCB">
        <w:rPr>
          <w:sz w:val="24"/>
          <w:szCs w:val="24"/>
        </w:rPr>
        <w:t xml:space="preserve">to </w:t>
      </w:r>
      <w:r w:rsidR="00943F19" w:rsidRPr="00903BCB">
        <w:rPr>
          <w:sz w:val="24"/>
          <w:szCs w:val="24"/>
        </w:rPr>
        <w:t>equaliz</w:t>
      </w:r>
      <w:r w:rsidRPr="00903BCB">
        <w:rPr>
          <w:sz w:val="24"/>
          <w:szCs w:val="24"/>
        </w:rPr>
        <w:t xml:space="preserve">e </w:t>
      </w:r>
      <w:r w:rsidR="003A1BD6" w:rsidRPr="00903BCB">
        <w:rPr>
          <w:sz w:val="24"/>
          <w:szCs w:val="24"/>
        </w:rPr>
        <w:t>inter-regional differences in financial capacity</w:t>
      </w:r>
      <w:r w:rsidR="00873C81" w:rsidRPr="00903BCB">
        <w:rPr>
          <w:sz w:val="24"/>
          <w:szCs w:val="24"/>
        </w:rPr>
        <w:t xml:space="preserve"> and/or service delivery</w:t>
      </w:r>
      <w:r w:rsidR="003A1BD6" w:rsidRPr="00903BCB">
        <w:rPr>
          <w:sz w:val="24"/>
          <w:szCs w:val="24"/>
        </w:rPr>
        <w:t>; (iii)</w:t>
      </w:r>
      <w:r w:rsidR="00943F19" w:rsidRPr="00903BCB">
        <w:rPr>
          <w:sz w:val="24"/>
          <w:szCs w:val="24"/>
        </w:rPr>
        <w:t xml:space="preserve"> </w:t>
      </w:r>
      <w:r w:rsidR="003A1BD6" w:rsidRPr="00903BCB">
        <w:rPr>
          <w:sz w:val="24"/>
          <w:szCs w:val="24"/>
        </w:rPr>
        <w:t xml:space="preserve">to </w:t>
      </w:r>
      <w:r w:rsidR="00943F19" w:rsidRPr="00903BCB">
        <w:rPr>
          <w:sz w:val="24"/>
          <w:szCs w:val="24"/>
        </w:rPr>
        <w:t>offset externalities</w:t>
      </w:r>
      <w:r w:rsidR="003A1BD6" w:rsidRPr="00903BCB">
        <w:rPr>
          <w:sz w:val="24"/>
          <w:szCs w:val="24"/>
        </w:rPr>
        <w:t xml:space="preserve"> to avoid under</w:t>
      </w:r>
      <w:r w:rsidR="005A576A" w:rsidRPr="00903BCB">
        <w:rPr>
          <w:sz w:val="24"/>
          <w:szCs w:val="24"/>
        </w:rPr>
        <w:t>-</w:t>
      </w:r>
      <w:r w:rsidR="003A1BD6" w:rsidRPr="00903BCB">
        <w:rPr>
          <w:sz w:val="24"/>
          <w:szCs w:val="24"/>
        </w:rPr>
        <w:t>spending on services where there are substantial across-regions benefits; (iv)</w:t>
      </w:r>
      <w:r w:rsidR="00943F19" w:rsidRPr="00903BCB">
        <w:rPr>
          <w:sz w:val="24"/>
          <w:szCs w:val="24"/>
        </w:rPr>
        <w:t xml:space="preserve"> </w:t>
      </w:r>
      <w:r w:rsidR="003A1BD6" w:rsidRPr="00903BCB">
        <w:rPr>
          <w:sz w:val="24"/>
          <w:szCs w:val="24"/>
        </w:rPr>
        <w:t>to distribute taxes that are collected by the central government</w:t>
      </w:r>
      <w:r w:rsidR="00901400" w:rsidRPr="00903BCB">
        <w:rPr>
          <w:sz w:val="24"/>
          <w:szCs w:val="24"/>
        </w:rPr>
        <w:t xml:space="preserve"> </w:t>
      </w:r>
      <w:r w:rsidR="003A1BD6" w:rsidRPr="00903BCB">
        <w:rPr>
          <w:sz w:val="24"/>
          <w:szCs w:val="24"/>
        </w:rPr>
        <w:t>under the justification that its capacity to assess and collect taxes is greater than subnational governments; and (v) to</w:t>
      </w:r>
      <w:r w:rsidR="00901400" w:rsidRPr="00903BCB">
        <w:rPr>
          <w:sz w:val="24"/>
          <w:szCs w:val="24"/>
        </w:rPr>
        <w:t xml:space="preserve"> </w:t>
      </w:r>
      <w:r w:rsidR="003A1BD6" w:rsidRPr="00903BCB">
        <w:rPr>
          <w:sz w:val="24"/>
          <w:szCs w:val="24"/>
        </w:rPr>
        <w:t>fulfill</w:t>
      </w:r>
      <w:r w:rsidR="00901400" w:rsidRPr="00903BCB">
        <w:rPr>
          <w:sz w:val="24"/>
          <w:szCs w:val="24"/>
        </w:rPr>
        <w:t xml:space="preserve"> </w:t>
      </w:r>
      <w:r w:rsidR="003A1BD6" w:rsidRPr="00903BCB">
        <w:rPr>
          <w:sz w:val="24"/>
          <w:szCs w:val="24"/>
        </w:rPr>
        <w:t xml:space="preserve">other </w:t>
      </w:r>
      <w:r w:rsidR="00943F19" w:rsidRPr="00903BCB">
        <w:rPr>
          <w:sz w:val="24"/>
          <w:szCs w:val="24"/>
        </w:rPr>
        <w:t xml:space="preserve">political objectives </w:t>
      </w:r>
      <w:r w:rsidR="00D5298C" w:rsidRPr="00903BCB">
        <w:rPr>
          <w:sz w:val="24"/>
          <w:szCs w:val="24"/>
        </w:rPr>
        <w:t xml:space="preserve">such as exchange of political support </w:t>
      </w:r>
      <w:r w:rsidR="00943F19" w:rsidRPr="00903BCB">
        <w:rPr>
          <w:sz w:val="24"/>
          <w:szCs w:val="24"/>
        </w:rPr>
        <w:t>(Bahl 2000, Bird and Smart 2001)</w:t>
      </w:r>
      <w:r w:rsidR="009B70BA" w:rsidRPr="00903BCB">
        <w:rPr>
          <w:sz w:val="24"/>
          <w:szCs w:val="24"/>
        </w:rPr>
        <w:t>.</w:t>
      </w:r>
    </w:p>
    <w:p w14:paraId="6CFE1475" w14:textId="77777777" w:rsidR="00DE052F" w:rsidRPr="00903BCB" w:rsidRDefault="00DE052F" w:rsidP="00623945">
      <w:pPr>
        <w:spacing w:line="360" w:lineRule="auto"/>
        <w:ind w:left="0" w:right="0"/>
        <w:rPr>
          <w:sz w:val="24"/>
          <w:szCs w:val="24"/>
        </w:rPr>
      </w:pPr>
    </w:p>
    <w:p w14:paraId="5A7194F1" w14:textId="4B0D4ABF" w:rsidR="001F0A08" w:rsidRPr="00903BCB" w:rsidRDefault="00321DFA" w:rsidP="00F25273">
      <w:pPr>
        <w:spacing w:line="360" w:lineRule="auto"/>
        <w:ind w:left="0" w:right="0"/>
        <w:rPr>
          <w:sz w:val="24"/>
          <w:szCs w:val="24"/>
        </w:rPr>
      </w:pPr>
      <w:r w:rsidRPr="00903BCB">
        <w:rPr>
          <w:sz w:val="24"/>
          <w:szCs w:val="24"/>
        </w:rPr>
        <w:t>Regardless of the specific political goal(s) driving fiscal decentralization</w:t>
      </w:r>
      <w:r w:rsidR="005A576A" w:rsidRPr="00903BCB">
        <w:rPr>
          <w:sz w:val="24"/>
          <w:szCs w:val="24"/>
        </w:rPr>
        <w:t>,</w:t>
      </w:r>
      <w:r w:rsidRPr="00903BCB">
        <w:rPr>
          <w:sz w:val="24"/>
          <w:szCs w:val="24"/>
        </w:rPr>
        <w:t xml:space="preserve"> there are two key components that have to be considered</w:t>
      </w:r>
      <w:r w:rsidR="00C85E38" w:rsidRPr="00903BCB">
        <w:rPr>
          <w:sz w:val="24"/>
          <w:szCs w:val="24"/>
        </w:rPr>
        <w:t xml:space="preserve"> when designing a transfer system</w:t>
      </w:r>
      <w:r w:rsidRPr="00903BCB">
        <w:rPr>
          <w:sz w:val="24"/>
          <w:szCs w:val="24"/>
        </w:rPr>
        <w:t>: the vertical and the horizontal balance</w:t>
      </w:r>
      <w:r w:rsidR="00FA0F66" w:rsidRPr="00903BCB">
        <w:rPr>
          <w:sz w:val="24"/>
          <w:szCs w:val="24"/>
        </w:rPr>
        <w:t>s</w:t>
      </w:r>
      <w:r w:rsidRPr="00903BCB">
        <w:rPr>
          <w:sz w:val="24"/>
          <w:szCs w:val="24"/>
        </w:rPr>
        <w:t xml:space="preserve">. The vertical balance refers to </w:t>
      </w:r>
      <w:r w:rsidR="00901400" w:rsidRPr="00903BCB">
        <w:rPr>
          <w:sz w:val="24"/>
          <w:szCs w:val="24"/>
        </w:rPr>
        <w:t xml:space="preserve">the </w:t>
      </w:r>
      <w:r w:rsidR="00A75908" w:rsidRPr="00903BCB">
        <w:rPr>
          <w:sz w:val="24"/>
          <w:szCs w:val="24"/>
        </w:rPr>
        <w:t>size of the distributable</w:t>
      </w:r>
      <w:r w:rsidR="00A13332" w:rsidRPr="00903BCB">
        <w:rPr>
          <w:sz w:val="24"/>
          <w:szCs w:val="24"/>
        </w:rPr>
        <w:t>,</w:t>
      </w:r>
      <w:r w:rsidR="00901400" w:rsidRPr="00903BCB">
        <w:rPr>
          <w:sz w:val="24"/>
          <w:szCs w:val="24"/>
        </w:rPr>
        <w:t xml:space="preserve"> </w:t>
      </w:r>
      <w:r w:rsidR="001752B8" w:rsidRPr="00903BCB">
        <w:rPr>
          <w:sz w:val="24"/>
          <w:szCs w:val="24"/>
        </w:rPr>
        <w:t>or grant</w:t>
      </w:r>
      <w:r w:rsidR="00A13332" w:rsidRPr="00903BCB">
        <w:rPr>
          <w:sz w:val="24"/>
          <w:szCs w:val="24"/>
        </w:rPr>
        <w:t>,</w:t>
      </w:r>
      <w:r w:rsidR="001752B8" w:rsidRPr="00903BCB">
        <w:rPr>
          <w:sz w:val="24"/>
          <w:szCs w:val="24"/>
        </w:rPr>
        <w:t xml:space="preserve"> </w:t>
      </w:r>
      <w:r w:rsidR="00901400" w:rsidRPr="00903BCB">
        <w:rPr>
          <w:sz w:val="24"/>
          <w:szCs w:val="24"/>
        </w:rPr>
        <w:t xml:space="preserve">pool and </w:t>
      </w:r>
      <w:r w:rsidR="00C907D4" w:rsidRPr="00903BCB">
        <w:rPr>
          <w:sz w:val="24"/>
          <w:szCs w:val="24"/>
        </w:rPr>
        <w:t>their</w:t>
      </w:r>
      <w:r w:rsidR="00901400" w:rsidRPr="00903BCB">
        <w:rPr>
          <w:sz w:val="24"/>
          <w:szCs w:val="24"/>
        </w:rPr>
        <w:t xml:space="preserve"> sources</w:t>
      </w:r>
      <w:r w:rsidR="00FA0F66" w:rsidRPr="00903BCB">
        <w:rPr>
          <w:sz w:val="24"/>
          <w:szCs w:val="24"/>
        </w:rPr>
        <w:t>. The size can be determined in three different ways: (i) a</w:t>
      </w:r>
      <w:r w:rsidR="00901400" w:rsidRPr="00903BCB">
        <w:rPr>
          <w:sz w:val="24"/>
          <w:szCs w:val="24"/>
        </w:rPr>
        <w:t>s a fixed proportion of central government revenues</w:t>
      </w:r>
      <w:r w:rsidR="00FA0F66" w:rsidRPr="00903BCB">
        <w:rPr>
          <w:sz w:val="24"/>
          <w:szCs w:val="24"/>
        </w:rPr>
        <w:t>; (ii) o</w:t>
      </w:r>
      <w:r w:rsidR="00AF36DE" w:rsidRPr="00903BCB">
        <w:rPr>
          <w:sz w:val="24"/>
          <w:szCs w:val="24"/>
        </w:rPr>
        <w:t>n an ad-</w:t>
      </w:r>
      <w:r w:rsidR="00A75908" w:rsidRPr="00903BCB">
        <w:rPr>
          <w:sz w:val="24"/>
          <w:szCs w:val="24"/>
        </w:rPr>
        <w:t>hoc basis</w:t>
      </w:r>
      <w:r w:rsidR="00FA0F66" w:rsidRPr="00903BCB">
        <w:rPr>
          <w:sz w:val="24"/>
          <w:szCs w:val="24"/>
        </w:rPr>
        <w:t>; and (iii) on a cost-reimbursement basis. The h</w:t>
      </w:r>
      <w:r w:rsidR="001752B8" w:rsidRPr="00903BCB">
        <w:rPr>
          <w:sz w:val="24"/>
          <w:szCs w:val="24"/>
        </w:rPr>
        <w:t xml:space="preserve">orizontal balance refers to how to distribute the grant pool across subnational levels. There are </w:t>
      </w:r>
      <w:r w:rsidR="00B8182B" w:rsidRPr="00903BCB">
        <w:rPr>
          <w:sz w:val="24"/>
          <w:szCs w:val="24"/>
        </w:rPr>
        <w:t xml:space="preserve">typically </w:t>
      </w:r>
      <w:r w:rsidR="001752B8" w:rsidRPr="00903BCB">
        <w:rPr>
          <w:sz w:val="24"/>
          <w:szCs w:val="24"/>
        </w:rPr>
        <w:t>four ways of doing it: (i) the derivation approach; (ii) the formula approach; (iii) the condit</w:t>
      </w:r>
      <w:r w:rsidR="00404FA1" w:rsidRPr="00903BCB">
        <w:rPr>
          <w:sz w:val="24"/>
          <w:szCs w:val="24"/>
        </w:rPr>
        <w:t xml:space="preserve">ional grants approach; and (iv) </w:t>
      </w:r>
      <w:r w:rsidR="00AF36DE" w:rsidRPr="00903BCB">
        <w:rPr>
          <w:sz w:val="24"/>
          <w:szCs w:val="24"/>
        </w:rPr>
        <w:t>the ad-</w:t>
      </w:r>
      <w:r w:rsidR="001752B8" w:rsidRPr="00903BCB">
        <w:rPr>
          <w:sz w:val="24"/>
          <w:szCs w:val="24"/>
        </w:rPr>
        <w:t>hoc approach</w:t>
      </w:r>
      <w:r w:rsidR="00873C81" w:rsidRPr="00903BCB">
        <w:rPr>
          <w:sz w:val="24"/>
          <w:szCs w:val="24"/>
        </w:rPr>
        <w:t xml:space="preserve"> (Bahl 2000)</w:t>
      </w:r>
      <w:r w:rsidR="001752B8" w:rsidRPr="00903BCB">
        <w:rPr>
          <w:sz w:val="24"/>
          <w:szCs w:val="24"/>
        </w:rPr>
        <w:t>.</w:t>
      </w:r>
      <w:r w:rsidR="00D71835" w:rsidRPr="00903BCB">
        <w:rPr>
          <w:sz w:val="24"/>
          <w:szCs w:val="24"/>
        </w:rPr>
        <w:t xml:space="preserve"> </w:t>
      </w:r>
      <w:r w:rsidR="000D58F9" w:rsidRPr="00903BCB">
        <w:rPr>
          <w:sz w:val="24"/>
          <w:szCs w:val="24"/>
        </w:rPr>
        <w:t xml:space="preserve">This </w:t>
      </w:r>
      <w:r w:rsidR="007879A3" w:rsidRPr="00903BCB">
        <w:rPr>
          <w:sz w:val="24"/>
          <w:szCs w:val="24"/>
        </w:rPr>
        <w:t>article</w:t>
      </w:r>
      <w:r w:rsidR="000D58F9" w:rsidRPr="00903BCB">
        <w:rPr>
          <w:sz w:val="24"/>
          <w:szCs w:val="24"/>
        </w:rPr>
        <w:t xml:space="preserve"> focuses on the horizontal balance only.</w:t>
      </w:r>
    </w:p>
    <w:p w14:paraId="526BC069" w14:textId="77777777" w:rsidR="001F0A08" w:rsidRPr="00903BCB" w:rsidRDefault="001F0A08" w:rsidP="006B0BC3">
      <w:pPr>
        <w:ind w:left="0" w:right="0"/>
        <w:rPr>
          <w:noProof/>
          <w:sz w:val="24"/>
          <w:szCs w:val="24"/>
        </w:rPr>
      </w:pPr>
    </w:p>
    <w:p w14:paraId="4E9AE0C5" w14:textId="77777777" w:rsidR="008207E4" w:rsidRPr="00903BCB" w:rsidRDefault="006137BF" w:rsidP="006B0BC3">
      <w:pPr>
        <w:ind w:left="0" w:right="0"/>
        <w:rPr>
          <w:noProof/>
          <w:sz w:val="24"/>
          <w:szCs w:val="24"/>
        </w:rPr>
      </w:pPr>
      <w:r w:rsidRPr="00903BCB">
        <w:rPr>
          <w:noProof/>
          <w:sz w:val="24"/>
          <w:szCs w:val="24"/>
        </w:rPr>
        <w:drawing>
          <wp:anchor distT="0" distB="0" distL="114300" distR="114300" simplePos="0" relativeHeight="251648512" behindDoc="1" locked="0" layoutInCell="1" allowOverlap="1" wp14:anchorId="5953344B" wp14:editId="680A13E2">
            <wp:simplePos x="0" y="0"/>
            <wp:positionH relativeFrom="column">
              <wp:posOffset>3213478</wp:posOffset>
            </wp:positionH>
            <wp:positionV relativeFrom="paragraph">
              <wp:posOffset>197225</wp:posOffset>
            </wp:positionV>
            <wp:extent cx="2737204" cy="1559031"/>
            <wp:effectExtent l="3553" t="3550" r="3078" b="3964"/>
            <wp:wrapTight wrapText="bothSides">
              <wp:wrapPolygon edited="0">
                <wp:start x="-75" y="0"/>
                <wp:lineTo x="-75" y="21469"/>
                <wp:lineTo x="21600" y="21469"/>
                <wp:lineTo x="21600" y="0"/>
                <wp:lineTo x="-75" y="0"/>
              </wp:wrapPolygon>
            </wp:wrapTight>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207E4" w:rsidRPr="00903BCB">
        <w:rPr>
          <w:noProof/>
          <w:sz w:val="24"/>
          <w:szCs w:val="24"/>
        </w:rPr>
        <w:t>Chart 1a:</w:t>
      </w:r>
      <w:r w:rsidR="008207E4" w:rsidRPr="00903BCB">
        <w:rPr>
          <w:noProof/>
          <w:sz w:val="24"/>
          <w:szCs w:val="24"/>
        </w:rPr>
        <w:tab/>
      </w:r>
      <w:r w:rsidR="008207E4" w:rsidRPr="00903BCB">
        <w:rPr>
          <w:noProof/>
          <w:sz w:val="24"/>
          <w:szCs w:val="24"/>
        </w:rPr>
        <w:tab/>
      </w:r>
      <w:r w:rsidR="008207E4" w:rsidRPr="00903BCB">
        <w:rPr>
          <w:noProof/>
          <w:sz w:val="24"/>
          <w:szCs w:val="24"/>
        </w:rPr>
        <w:tab/>
      </w:r>
      <w:r w:rsidR="008207E4" w:rsidRPr="00903BCB">
        <w:rPr>
          <w:noProof/>
          <w:sz w:val="24"/>
          <w:szCs w:val="24"/>
        </w:rPr>
        <w:tab/>
      </w:r>
      <w:r w:rsidR="00623945" w:rsidRPr="00903BCB">
        <w:rPr>
          <w:noProof/>
          <w:sz w:val="24"/>
          <w:szCs w:val="24"/>
        </w:rPr>
        <w:tab/>
      </w:r>
      <w:r w:rsidR="00623945" w:rsidRPr="00903BCB">
        <w:rPr>
          <w:noProof/>
          <w:sz w:val="24"/>
          <w:szCs w:val="24"/>
        </w:rPr>
        <w:tab/>
      </w:r>
      <w:r w:rsidR="008207E4" w:rsidRPr="00903BCB">
        <w:rPr>
          <w:noProof/>
          <w:sz w:val="24"/>
          <w:szCs w:val="24"/>
        </w:rPr>
        <w:t>Chart 1b:</w:t>
      </w:r>
    </w:p>
    <w:p w14:paraId="26ADD270" w14:textId="77777777" w:rsidR="000718CF" w:rsidRPr="00903BCB" w:rsidRDefault="006137BF" w:rsidP="008207E4">
      <w:pPr>
        <w:ind w:left="0" w:right="0"/>
        <w:jc w:val="left"/>
        <w:rPr>
          <w:noProof/>
          <w:sz w:val="24"/>
          <w:szCs w:val="24"/>
        </w:rPr>
      </w:pPr>
      <w:r w:rsidRPr="00903BCB">
        <w:rPr>
          <w:noProof/>
          <w:sz w:val="24"/>
          <w:szCs w:val="24"/>
        </w:rPr>
        <w:drawing>
          <wp:inline distT="0" distB="0" distL="0" distR="0" wp14:anchorId="65A9C1DB" wp14:editId="3C7ED8F5">
            <wp:extent cx="2697541" cy="2049436"/>
            <wp:effectExtent l="3665" t="3748" r="3894" b="4216"/>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718CF" w:rsidRPr="00903BCB">
        <w:rPr>
          <w:noProof/>
          <w:sz w:val="24"/>
          <w:szCs w:val="24"/>
        </w:rPr>
        <w:t xml:space="preserve"> </w:t>
      </w:r>
    </w:p>
    <w:p w14:paraId="756EE99A" w14:textId="77777777" w:rsidR="00623945" w:rsidRPr="00903BCB" w:rsidRDefault="00623945" w:rsidP="000718CF">
      <w:pPr>
        <w:ind w:left="0" w:right="0"/>
        <w:jc w:val="left"/>
        <w:rPr>
          <w:noProof/>
          <w:sz w:val="24"/>
          <w:szCs w:val="24"/>
        </w:rPr>
      </w:pPr>
    </w:p>
    <w:p w14:paraId="3B04ADC2" w14:textId="77777777" w:rsidR="00404FA1" w:rsidRPr="00903BCB" w:rsidRDefault="00404FA1" w:rsidP="00404FA1">
      <w:pPr>
        <w:spacing w:line="360" w:lineRule="auto"/>
        <w:ind w:left="0" w:right="0"/>
        <w:jc w:val="left"/>
        <w:rPr>
          <w:noProof/>
          <w:sz w:val="24"/>
          <w:szCs w:val="24"/>
        </w:rPr>
      </w:pPr>
    </w:p>
    <w:p w14:paraId="3D8ACC36" w14:textId="77777777" w:rsidR="00D15006" w:rsidRPr="00903BCB" w:rsidRDefault="008207E4" w:rsidP="008207E4">
      <w:pPr>
        <w:ind w:left="0" w:right="0"/>
        <w:jc w:val="left"/>
        <w:rPr>
          <w:sz w:val="24"/>
          <w:szCs w:val="24"/>
        </w:rPr>
      </w:pPr>
      <w:r w:rsidRPr="00903BCB">
        <w:rPr>
          <w:noProof/>
          <w:sz w:val="24"/>
          <w:szCs w:val="24"/>
        </w:rPr>
        <w:t>Chart 1c:</w:t>
      </w:r>
      <w:r w:rsidR="00D535E9" w:rsidRPr="00903BCB">
        <w:rPr>
          <w:sz w:val="24"/>
          <w:szCs w:val="24"/>
        </w:rPr>
        <w:t xml:space="preserve"> </w:t>
      </w:r>
      <w:r w:rsidR="00D535E9" w:rsidRPr="00903BCB">
        <w:rPr>
          <w:sz w:val="24"/>
          <w:szCs w:val="24"/>
        </w:rPr>
        <w:tab/>
      </w:r>
      <w:r w:rsidR="00D535E9" w:rsidRPr="00903BCB">
        <w:rPr>
          <w:sz w:val="24"/>
          <w:szCs w:val="24"/>
        </w:rPr>
        <w:tab/>
      </w:r>
      <w:r w:rsidR="00D535E9" w:rsidRPr="00903BCB">
        <w:rPr>
          <w:sz w:val="24"/>
          <w:szCs w:val="24"/>
        </w:rPr>
        <w:tab/>
      </w:r>
      <w:r w:rsidR="00D535E9" w:rsidRPr="00903BCB">
        <w:rPr>
          <w:sz w:val="24"/>
          <w:szCs w:val="24"/>
        </w:rPr>
        <w:tab/>
      </w:r>
      <w:r w:rsidR="00D535E9" w:rsidRPr="00903BCB">
        <w:rPr>
          <w:sz w:val="24"/>
          <w:szCs w:val="24"/>
        </w:rPr>
        <w:tab/>
      </w:r>
      <w:r w:rsidR="00D535E9" w:rsidRPr="00903BCB">
        <w:rPr>
          <w:sz w:val="24"/>
          <w:szCs w:val="24"/>
        </w:rPr>
        <w:tab/>
        <w:t>Chart 1d:</w:t>
      </w:r>
    </w:p>
    <w:p w14:paraId="10C8FA34" w14:textId="77777777" w:rsidR="008207E4" w:rsidRPr="00903BCB" w:rsidRDefault="006137BF" w:rsidP="006B0BC3">
      <w:pPr>
        <w:ind w:left="0" w:right="0"/>
        <w:rPr>
          <w:sz w:val="24"/>
          <w:szCs w:val="24"/>
        </w:rPr>
      </w:pPr>
      <w:r w:rsidRPr="00903BCB">
        <w:rPr>
          <w:noProof/>
          <w:sz w:val="24"/>
          <w:szCs w:val="24"/>
        </w:rPr>
        <w:drawing>
          <wp:anchor distT="0" distB="0" distL="114300" distR="114300" simplePos="0" relativeHeight="251650560" behindDoc="1" locked="0" layoutInCell="1" allowOverlap="1" wp14:anchorId="69560625" wp14:editId="24369CCC">
            <wp:simplePos x="0" y="0"/>
            <wp:positionH relativeFrom="column">
              <wp:posOffset>-5509</wp:posOffset>
            </wp:positionH>
            <wp:positionV relativeFrom="paragraph">
              <wp:posOffset>30051</wp:posOffset>
            </wp:positionV>
            <wp:extent cx="2736172" cy="2045794"/>
            <wp:effectExtent l="4016" t="4016" r="3647" b="3145"/>
            <wp:wrapTight wrapText="bothSides">
              <wp:wrapPolygon edited="0">
                <wp:start x="-75" y="0"/>
                <wp:lineTo x="-75" y="21500"/>
                <wp:lineTo x="21600" y="21500"/>
                <wp:lineTo x="21600" y="0"/>
                <wp:lineTo x="-75" y="0"/>
              </wp:wrapPolygon>
            </wp:wrapTight>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903BCB">
        <w:rPr>
          <w:noProof/>
          <w:sz w:val="24"/>
          <w:szCs w:val="24"/>
        </w:rPr>
        <w:drawing>
          <wp:anchor distT="0" distB="0" distL="114300" distR="114300" simplePos="0" relativeHeight="251649536" behindDoc="1" locked="0" layoutInCell="1" allowOverlap="1" wp14:anchorId="5E2A1267" wp14:editId="0F10E086">
            <wp:simplePos x="0" y="0"/>
            <wp:positionH relativeFrom="column">
              <wp:posOffset>3223593</wp:posOffset>
            </wp:positionH>
            <wp:positionV relativeFrom="paragraph">
              <wp:posOffset>33982</wp:posOffset>
            </wp:positionV>
            <wp:extent cx="2735088" cy="1444452"/>
            <wp:effectExtent l="3508" t="3502" r="5239" b="2386"/>
            <wp:wrapTight wrapText="bothSides">
              <wp:wrapPolygon edited="0">
                <wp:start x="-75" y="0"/>
                <wp:lineTo x="-75" y="21458"/>
                <wp:lineTo x="21600" y="21458"/>
                <wp:lineTo x="21600" y="0"/>
                <wp:lineTo x="-75" y="0"/>
              </wp:wrapPolygon>
            </wp:wrapTight>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933546B" w14:textId="77777777" w:rsidR="00D535E9" w:rsidRPr="00903BCB" w:rsidRDefault="00D535E9" w:rsidP="006B0BC3">
      <w:pPr>
        <w:ind w:left="0" w:right="0"/>
        <w:rPr>
          <w:b/>
          <w:sz w:val="24"/>
          <w:szCs w:val="24"/>
        </w:rPr>
      </w:pPr>
    </w:p>
    <w:p w14:paraId="113A30D7" w14:textId="77777777" w:rsidR="00D535E9" w:rsidRPr="00903BCB" w:rsidRDefault="00D535E9" w:rsidP="006B0BC3">
      <w:pPr>
        <w:ind w:left="0" w:right="0"/>
        <w:rPr>
          <w:b/>
          <w:sz w:val="24"/>
          <w:szCs w:val="24"/>
        </w:rPr>
      </w:pPr>
    </w:p>
    <w:p w14:paraId="007062C7" w14:textId="77777777" w:rsidR="00D535E9" w:rsidRPr="00903BCB" w:rsidRDefault="00D535E9" w:rsidP="006B0BC3">
      <w:pPr>
        <w:ind w:left="0" w:right="0"/>
        <w:rPr>
          <w:b/>
          <w:sz w:val="24"/>
          <w:szCs w:val="24"/>
        </w:rPr>
      </w:pPr>
    </w:p>
    <w:p w14:paraId="728A2862" w14:textId="77777777" w:rsidR="00D535E9" w:rsidRPr="00903BCB" w:rsidRDefault="00D535E9" w:rsidP="006B0BC3">
      <w:pPr>
        <w:ind w:left="0" w:right="0"/>
        <w:rPr>
          <w:b/>
          <w:sz w:val="24"/>
          <w:szCs w:val="24"/>
        </w:rPr>
      </w:pPr>
    </w:p>
    <w:p w14:paraId="393C2B5E" w14:textId="77777777" w:rsidR="00D535E9" w:rsidRPr="00903BCB" w:rsidRDefault="00D535E9" w:rsidP="006B0BC3">
      <w:pPr>
        <w:ind w:left="0" w:right="0"/>
        <w:rPr>
          <w:b/>
          <w:sz w:val="24"/>
          <w:szCs w:val="24"/>
        </w:rPr>
      </w:pPr>
    </w:p>
    <w:p w14:paraId="54588C97" w14:textId="77777777" w:rsidR="00D535E9" w:rsidRPr="00903BCB" w:rsidRDefault="00D535E9" w:rsidP="006B0BC3">
      <w:pPr>
        <w:ind w:left="0" w:right="0"/>
        <w:rPr>
          <w:b/>
          <w:sz w:val="24"/>
          <w:szCs w:val="24"/>
        </w:rPr>
      </w:pPr>
    </w:p>
    <w:p w14:paraId="641655B8" w14:textId="77777777" w:rsidR="00D535E9" w:rsidRPr="00903BCB" w:rsidRDefault="00D535E9" w:rsidP="006B0BC3">
      <w:pPr>
        <w:ind w:left="0" w:right="0"/>
        <w:rPr>
          <w:b/>
          <w:sz w:val="24"/>
          <w:szCs w:val="24"/>
        </w:rPr>
      </w:pPr>
    </w:p>
    <w:p w14:paraId="47E35E04" w14:textId="77777777" w:rsidR="00D535E9" w:rsidRPr="00903BCB" w:rsidRDefault="00D535E9" w:rsidP="006B0BC3">
      <w:pPr>
        <w:ind w:left="0" w:right="0"/>
        <w:rPr>
          <w:b/>
          <w:sz w:val="24"/>
          <w:szCs w:val="24"/>
        </w:rPr>
      </w:pPr>
    </w:p>
    <w:p w14:paraId="789AA80D" w14:textId="77777777" w:rsidR="00D535E9" w:rsidRPr="00903BCB" w:rsidRDefault="00D535E9" w:rsidP="006B0BC3">
      <w:pPr>
        <w:ind w:left="0" w:right="0"/>
        <w:rPr>
          <w:b/>
          <w:sz w:val="24"/>
          <w:szCs w:val="24"/>
        </w:rPr>
      </w:pPr>
    </w:p>
    <w:p w14:paraId="602DEA70" w14:textId="77777777" w:rsidR="00D535E9" w:rsidRPr="00903BCB" w:rsidRDefault="00D535E9" w:rsidP="006B0BC3">
      <w:pPr>
        <w:ind w:left="0" w:right="0"/>
        <w:rPr>
          <w:b/>
          <w:sz w:val="24"/>
          <w:szCs w:val="24"/>
        </w:rPr>
      </w:pPr>
    </w:p>
    <w:p w14:paraId="5C87C44B" w14:textId="77777777" w:rsidR="00D535E9" w:rsidRPr="00903BCB" w:rsidRDefault="00D535E9" w:rsidP="006B0BC3">
      <w:pPr>
        <w:ind w:left="0" w:right="0"/>
        <w:rPr>
          <w:b/>
          <w:sz w:val="24"/>
          <w:szCs w:val="24"/>
        </w:rPr>
      </w:pPr>
    </w:p>
    <w:p w14:paraId="2924C783" w14:textId="77777777" w:rsidR="00D535E9" w:rsidRPr="00903BCB" w:rsidRDefault="00D535E9" w:rsidP="006B0BC3">
      <w:pPr>
        <w:ind w:left="0" w:right="0"/>
        <w:rPr>
          <w:b/>
          <w:sz w:val="24"/>
          <w:szCs w:val="24"/>
        </w:rPr>
      </w:pPr>
    </w:p>
    <w:p w14:paraId="0306C037" w14:textId="0CD25D65" w:rsidR="000718CF" w:rsidRPr="00903BCB" w:rsidRDefault="00D71A43" w:rsidP="006B0BC3">
      <w:pPr>
        <w:ind w:left="0" w:right="0"/>
        <w:rPr>
          <w:sz w:val="24"/>
          <w:szCs w:val="24"/>
        </w:rPr>
      </w:pPr>
      <w:r w:rsidRPr="00903BCB">
        <w:rPr>
          <w:b/>
          <w:sz w:val="24"/>
          <w:szCs w:val="24"/>
        </w:rPr>
        <w:t>Note:</w:t>
      </w:r>
      <w:r w:rsidRPr="00903BCB">
        <w:rPr>
          <w:sz w:val="24"/>
          <w:szCs w:val="24"/>
        </w:rPr>
        <w:t xml:space="preserve"> The Governorates of Amman, Zarqa and Aqaba are displayed in separated charts for better identification of transfer patterns given the disparities </w:t>
      </w:r>
      <w:r w:rsidR="00705467" w:rsidRPr="00903BCB">
        <w:rPr>
          <w:sz w:val="24"/>
          <w:szCs w:val="24"/>
        </w:rPr>
        <w:t>with</w:t>
      </w:r>
      <w:r w:rsidRPr="00903BCB">
        <w:rPr>
          <w:sz w:val="24"/>
          <w:szCs w:val="24"/>
        </w:rPr>
        <w:t xml:space="preserve">in the scale </w:t>
      </w:r>
      <w:r w:rsidR="00847426" w:rsidRPr="00903BCB">
        <w:rPr>
          <w:sz w:val="24"/>
          <w:szCs w:val="24"/>
        </w:rPr>
        <w:t xml:space="preserve">used </w:t>
      </w:r>
      <w:r w:rsidR="00705467" w:rsidRPr="00903BCB">
        <w:rPr>
          <w:sz w:val="24"/>
          <w:szCs w:val="24"/>
        </w:rPr>
        <w:t>to compare</w:t>
      </w:r>
      <w:r w:rsidRPr="00903BCB">
        <w:rPr>
          <w:sz w:val="24"/>
          <w:szCs w:val="24"/>
        </w:rPr>
        <w:t xml:space="preserve"> </w:t>
      </w:r>
      <w:r w:rsidR="001F0A08" w:rsidRPr="00903BCB">
        <w:rPr>
          <w:sz w:val="24"/>
          <w:szCs w:val="24"/>
        </w:rPr>
        <w:t>g</w:t>
      </w:r>
      <w:r w:rsidRPr="00903BCB">
        <w:rPr>
          <w:sz w:val="24"/>
          <w:szCs w:val="24"/>
        </w:rPr>
        <w:t>overnorates.</w:t>
      </w:r>
    </w:p>
    <w:p w14:paraId="3508A65E" w14:textId="77777777" w:rsidR="00404FA1" w:rsidRPr="00903BCB" w:rsidRDefault="00404FA1" w:rsidP="00623945">
      <w:pPr>
        <w:spacing w:line="360" w:lineRule="auto"/>
        <w:ind w:left="0" w:right="0"/>
        <w:rPr>
          <w:sz w:val="24"/>
          <w:szCs w:val="24"/>
        </w:rPr>
      </w:pPr>
    </w:p>
    <w:p w14:paraId="27E33A52" w14:textId="6342585E" w:rsidR="001F5B72" w:rsidRPr="00903BCB" w:rsidRDefault="001F5B72" w:rsidP="001F5B72">
      <w:pPr>
        <w:spacing w:line="360" w:lineRule="auto"/>
        <w:ind w:left="0" w:right="0"/>
        <w:rPr>
          <w:sz w:val="24"/>
          <w:szCs w:val="24"/>
        </w:rPr>
      </w:pPr>
      <w:r w:rsidRPr="00903BCB">
        <w:rPr>
          <w:sz w:val="24"/>
          <w:szCs w:val="24"/>
        </w:rPr>
        <w:t>As illustrated by the irregularity of transfers for capital expenditure</w:t>
      </w:r>
      <w:r w:rsidRPr="00903BCB">
        <w:rPr>
          <w:rStyle w:val="FootnoteReference"/>
          <w:sz w:val="24"/>
          <w:szCs w:val="24"/>
        </w:rPr>
        <w:footnoteReference w:id="6"/>
      </w:r>
      <w:r w:rsidRPr="00903BCB">
        <w:rPr>
          <w:sz w:val="24"/>
          <w:szCs w:val="24"/>
        </w:rPr>
        <w:t xml:space="preserve"> to the governorate level between 2009 and 2011, both in absolute (see Charts 1a and 1c) and relative (see Charts 1b and 1d) terms, ad-hoc criteria seems </w:t>
      </w:r>
      <w:r w:rsidR="00447D70" w:rsidRPr="00903BCB">
        <w:rPr>
          <w:sz w:val="24"/>
          <w:szCs w:val="24"/>
        </w:rPr>
        <w:t>to</w:t>
      </w:r>
      <w:r w:rsidRPr="00903BCB">
        <w:rPr>
          <w:sz w:val="24"/>
          <w:szCs w:val="24"/>
        </w:rPr>
        <w:t xml:space="preserve"> best describes current intergovernmental transfers in Jordan.</w:t>
      </w:r>
      <w:r w:rsidRPr="00903BCB">
        <w:rPr>
          <w:rStyle w:val="FootnoteReference"/>
          <w:sz w:val="24"/>
          <w:szCs w:val="24"/>
        </w:rPr>
        <w:footnoteReference w:id="7"/>
      </w:r>
      <w:r w:rsidRPr="00903BCB">
        <w:rPr>
          <w:sz w:val="24"/>
          <w:szCs w:val="24"/>
        </w:rPr>
        <w:t xml:space="preserve"> </w:t>
      </w:r>
    </w:p>
    <w:p w14:paraId="04BF352D" w14:textId="79005B7E" w:rsidR="00404FA1" w:rsidRPr="00903BCB" w:rsidRDefault="00404FA1" w:rsidP="00623945">
      <w:pPr>
        <w:spacing w:line="360" w:lineRule="auto"/>
        <w:ind w:left="0" w:right="0"/>
        <w:rPr>
          <w:sz w:val="24"/>
          <w:szCs w:val="24"/>
        </w:rPr>
      </w:pPr>
      <w:r w:rsidRPr="00903BCB">
        <w:rPr>
          <w:sz w:val="24"/>
          <w:szCs w:val="24"/>
        </w:rPr>
        <w:t xml:space="preserve">This assertion is reinforced </w:t>
      </w:r>
      <w:r w:rsidR="00447D70" w:rsidRPr="00903BCB">
        <w:rPr>
          <w:sz w:val="24"/>
          <w:szCs w:val="24"/>
        </w:rPr>
        <w:t>by the fact</w:t>
      </w:r>
      <w:r w:rsidRPr="00903BCB">
        <w:rPr>
          <w:sz w:val="24"/>
          <w:szCs w:val="24"/>
        </w:rPr>
        <w:t xml:space="preserve"> that GDP has been steadily increasing since 2008, </w:t>
      </w:r>
      <w:r w:rsidR="00447D70" w:rsidRPr="00903BCB">
        <w:rPr>
          <w:sz w:val="24"/>
          <w:szCs w:val="24"/>
        </w:rPr>
        <w:t>signifying</w:t>
      </w:r>
      <w:r w:rsidR="00C77844" w:rsidRPr="00903BCB">
        <w:rPr>
          <w:sz w:val="24"/>
          <w:szCs w:val="24"/>
        </w:rPr>
        <w:t xml:space="preserve"> that the irregularity of transfers </w:t>
      </w:r>
      <w:r w:rsidRPr="00903BCB">
        <w:rPr>
          <w:sz w:val="24"/>
          <w:szCs w:val="24"/>
        </w:rPr>
        <w:t xml:space="preserve">cannot be </w:t>
      </w:r>
      <w:r w:rsidR="00C77844" w:rsidRPr="00903BCB">
        <w:rPr>
          <w:sz w:val="24"/>
          <w:szCs w:val="24"/>
        </w:rPr>
        <w:t>explained by</w:t>
      </w:r>
      <w:r w:rsidRPr="00903BCB">
        <w:rPr>
          <w:sz w:val="24"/>
          <w:szCs w:val="24"/>
        </w:rPr>
        <w:t xml:space="preserve"> macroeconomic </w:t>
      </w:r>
      <w:r w:rsidR="00C77844" w:rsidRPr="00903BCB">
        <w:rPr>
          <w:sz w:val="24"/>
          <w:szCs w:val="24"/>
        </w:rPr>
        <w:t>instability</w:t>
      </w:r>
      <w:r w:rsidR="00C019B2" w:rsidRPr="00903BCB">
        <w:rPr>
          <w:sz w:val="24"/>
          <w:szCs w:val="24"/>
        </w:rPr>
        <w:t>.</w:t>
      </w:r>
      <w:r w:rsidRPr="00903BCB">
        <w:rPr>
          <w:rStyle w:val="FootnoteReference"/>
          <w:sz w:val="24"/>
          <w:szCs w:val="24"/>
        </w:rPr>
        <w:footnoteReference w:id="8"/>
      </w:r>
      <w:r w:rsidR="00447D70" w:rsidRPr="00903BCB">
        <w:rPr>
          <w:sz w:val="24"/>
          <w:szCs w:val="24"/>
        </w:rPr>
        <w:t xml:space="preserve"> </w:t>
      </w:r>
      <w:r w:rsidRPr="00903BCB">
        <w:rPr>
          <w:sz w:val="24"/>
          <w:szCs w:val="24"/>
        </w:rPr>
        <w:t xml:space="preserve">Interviews with public officers </w:t>
      </w:r>
      <w:r w:rsidR="00447D70" w:rsidRPr="00903BCB">
        <w:rPr>
          <w:sz w:val="24"/>
          <w:szCs w:val="24"/>
        </w:rPr>
        <w:t xml:space="preserve">also </w:t>
      </w:r>
      <w:r w:rsidRPr="00903BCB">
        <w:rPr>
          <w:sz w:val="24"/>
          <w:szCs w:val="24"/>
        </w:rPr>
        <w:t xml:space="preserve">support this assertion. Intergovernmental transfers are typically decided </w:t>
      </w:r>
      <w:r w:rsidR="00447D70" w:rsidRPr="00903BCB">
        <w:rPr>
          <w:sz w:val="24"/>
          <w:szCs w:val="24"/>
        </w:rPr>
        <w:t>by</w:t>
      </w:r>
      <w:r w:rsidRPr="00903BCB">
        <w:rPr>
          <w:sz w:val="24"/>
          <w:szCs w:val="24"/>
        </w:rPr>
        <w:t xml:space="preserve"> case-by-case evaluations of project</w:t>
      </w:r>
      <w:r w:rsidR="009F7DED" w:rsidRPr="00903BCB">
        <w:rPr>
          <w:sz w:val="24"/>
          <w:szCs w:val="24"/>
        </w:rPr>
        <w:t xml:space="preserve"> proposals</w:t>
      </w:r>
      <w:r w:rsidRPr="00903BCB">
        <w:rPr>
          <w:sz w:val="24"/>
          <w:szCs w:val="24"/>
        </w:rPr>
        <w:t xml:space="preserve"> received </w:t>
      </w:r>
      <w:r w:rsidR="0075076E" w:rsidRPr="00903BCB">
        <w:rPr>
          <w:sz w:val="24"/>
          <w:szCs w:val="24"/>
        </w:rPr>
        <w:t>by</w:t>
      </w:r>
      <w:r w:rsidRPr="00903BCB">
        <w:rPr>
          <w:sz w:val="24"/>
          <w:szCs w:val="24"/>
        </w:rPr>
        <w:t xml:space="preserve"> the </w:t>
      </w:r>
      <w:r w:rsidR="0075076E" w:rsidRPr="00903BCB">
        <w:rPr>
          <w:sz w:val="24"/>
          <w:szCs w:val="24"/>
        </w:rPr>
        <w:t>c</w:t>
      </w:r>
      <w:r w:rsidRPr="00903BCB">
        <w:rPr>
          <w:sz w:val="24"/>
          <w:szCs w:val="24"/>
        </w:rPr>
        <w:t xml:space="preserve">entral </w:t>
      </w:r>
      <w:r w:rsidR="0075076E" w:rsidRPr="00903BCB">
        <w:rPr>
          <w:sz w:val="24"/>
          <w:szCs w:val="24"/>
        </w:rPr>
        <w:t>g</w:t>
      </w:r>
      <w:r w:rsidRPr="00903BCB">
        <w:rPr>
          <w:sz w:val="24"/>
          <w:szCs w:val="24"/>
        </w:rPr>
        <w:t xml:space="preserve">overnment from </w:t>
      </w:r>
      <w:r w:rsidR="0075076E" w:rsidRPr="00903BCB">
        <w:rPr>
          <w:sz w:val="24"/>
          <w:szCs w:val="24"/>
        </w:rPr>
        <w:t>g</w:t>
      </w:r>
      <w:r w:rsidRPr="00903BCB">
        <w:rPr>
          <w:sz w:val="24"/>
          <w:szCs w:val="24"/>
        </w:rPr>
        <w:t>overnorates</w:t>
      </w:r>
      <w:r w:rsidR="009F7DED" w:rsidRPr="00903BCB">
        <w:rPr>
          <w:sz w:val="24"/>
          <w:szCs w:val="24"/>
        </w:rPr>
        <w:t>,</w:t>
      </w:r>
      <w:r w:rsidRPr="00903BCB">
        <w:rPr>
          <w:sz w:val="24"/>
          <w:szCs w:val="24"/>
        </w:rPr>
        <w:t xml:space="preserve"> and the amounts are allocated more or less discretionarily depending on the size of the grant pool still available.</w:t>
      </w:r>
      <w:r w:rsidR="000A6E32" w:rsidRPr="00903BCB">
        <w:rPr>
          <w:sz w:val="24"/>
          <w:szCs w:val="24"/>
        </w:rPr>
        <w:t xml:space="preserve"> Expenditures to address across-governorates interests are normally incurred directly by the central government. </w:t>
      </w:r>
      <w:r w:rsidR="00447D70" w:rsidRPr="00903BCB">
        <w:rPr>
          <w:sz w:val="24"/>
          <w:szCs w:val="24"/>
        </w:rPr>
        <w:t xml:space="preserve">As </w:t>
      </w:r>
      <w:r w:rsidRPr="00903BCB">
        <w:rPr>
          <w:sz w:val="24"/>
          <w:szCs w:val="24"/>
        </w:rPr>
        <w:t xml:space="preserve">Bird and Smart (2001) </w:t>
      </w:r>
      <w:r w:rsidR="00447D70" w:rsidRPr="00903BCB">
        <w:rPr>
          <w:sz w:val="24"/>
          <w:szCs w:val="24"/>
        </w:rPr>
        <w:t>argue,</w:t>
      </w:r>
      <w:r w:rsidRPr="00903BCB">
        <w:rPr>
          <w:sz w:val="24"/>
          <w:szCs w:val="24"/>
        </w:rPr>
        <w:t xml:space="preserve"> “discretionary or negotiated transfers are clearly undesirable” (p. 20).</w:t>
      </w:r>
    </w:p>
    <w:p w14:paraId="3667BC0A" w14:textId="77777777" w:rsidR="00404FA1" w:rsidRPr="00903BCB" w:rsidRDefault="00404FA1" w:rsidP="00623945">
      <w:pPr>
        <w:spacing w:line="360" w:lineRule="auto"/>
        <w:ind w:left="0" w:right="0"/>
        <w:rPr>
          <w:sz w:val="24"/>
          <w:szCs w:val="24"/>
        </w:rPr>
      </w:pPr>
    </w:p>
    <w:p w14:paraId="44A5AA6B" w14:textId="686FE5E2" w:rsidR="006B0BC3" w:rsidRPr="00903BCB" w:rsidRDefault="009C4E1C" w:rsidP="00623945">
      <w:pPr>
        <w:spacing w:line="360" w:lineRule="auto"/>
        <w:ind w:left="0" w:right="0"/>
        <w:rPr>
          <w:sz w:val="24"/>
          <w:szCs w:val="24"/>
        </w:rPr>
      </w:pPr>
      <w:r w:rsidRPr="00903BCB">
        <w:rPr>
          <w:sz w:val="24"/>
          <w:szCs w:val="24"/>
        </w:rPr>
        <w:t>The irregularity</w:t>
      </w:r>
      <w:r w:rsidR="007300F0" w:rsidRPr="00903BCB">
        <w:rPr>
          <w:sz w:val="24"/>
          <w:szCs w:val="24"/>
        </w:rPr>
        <w:t xml:space="preserve"> </w:t>
      </w:r>
      <w:r w:rsidRPr="00903BCB">
        <w:rPr>
          <w:sz w:val="24"/>
          <w:szCs w:val="24"/>
        </w:rPr>
        <w:t xml:space="preserve">in the </w:t>
      </w:r>
      <w:r w:rsidR="007300F0" w:rsidRPr="00903BCB">
        <w:rPr>
          <w:sz w:val="24"/>
          <w:szCs w:val="24"/>
        </w:rPr>
        <w:t xml:space="preserve">historical </w:t>
      </w:r>
      <w:r w:rsidR="002831E7" w:rsidRPr="00903BCB">
        <w:rPr>
          <w:sz w:val="24"/>
          <w:szCs w:val="24"/>
        </w:rPr>
        <w:t xml:space="preserve">patterns of </w:t>
      </w:r>
      <w:r w:rsidR="007300F0" w:rsidRPr="00903BCB">
        <w:rPr>
          <w:sz w:val="24"/>
          <w:szCs w:val="24"/>
        </w:rPr>
        <w:t>transfer</w:t>
      </w:r>
      <w:r w:rsidR="002831E7" w:rsidRPr="00903BCB">
        <w:rPr>
          <w:sz w:val="24"/>
          <w:szCs w:val="24"/>
        </w:rPr>
        <w:t>s</w:t>
      </w:r>
      <w:r w:rsidR="007300F0" w:rsidRPr="00903BCB">
        <w:rPr>
          <w:sz w:val="24"/>
          <w:szCs w:val="24"/>
        </w:rPr>
        <w:t xml:space="preserve"> </w:t>
      </w:r>
      <w:r w:rsidRPr="00903BCB">
        <w:rPr>
          <w:sz w:val="24"/>
          <w:szCs w:val="24"/>
        </w:rPr>
        <w:t>illustrated</w:t>
      </w:r>
      <w:r w:rsidR="007300F0" w:rsidRPr="00903BCB">
        <w:rPr>
          <w:sz w:val="24"/>
          <w:szCs w:val="24"/>
        </w:rPr>
        <w:t xml:space="preserve"> </w:t>
      </w:r>
      <w:r w:rsidRPr="00903BCB">
        <w:rPr>
          <w:sz w:val="24"/>
          <w:szCs w:val="24"/>
        </w:rPr>
        <w:t xml:space="preserve">by </w:t>
      </w:r>
      <w:r w:rsidR="007300F0" w:rsidRPr="00903BCB">
        <w:rPr>
          <w:sz w:val="24"/>
          <w:szCs w:val="24"/>
        </w:rPr>
        <w:t xml:space="preserve">Charts 1a-1d </w:t>
      </w:r>
      <w:r w:rsidRPr="00903BCB">
        <w:rPr>
          <w:sz w:val="24"/>
          <w:szCs w:val="24"/>
        </w:rPr>
        <w:t xml:space="preserve">is precisely the problem this </w:t>
      </w:r>
      <w:r w:rsidR="007879A3" w:rsidRPr="00903BCB">
        <w:rPr>
          <w:sz w:val="24"/>
          <w:szCs w:val="24"/>
        </w:rPr>
        <w:t>article</w:t>
      </w:r>
      <w:r w:rsidRPr="00903BCB">
        <w:rPr>
          <w:sz w:val="24"/>
          <w:szCs w:val="24"/>
        </w:rPr>
        <w:t xml:space="preserve"> aims </w:t>
      </w:r>
      <w:r w:rsidR="001715DF" w:rsidRPr="00903BCB">
        <w:rPr>
          <w:sz w:val="24"/>
          <w:szCs w:val="24"/>
        </w:rPr>
        <w:t>to</w:t>
      </w:r>
      <w:r w:rsidRPr="00903BCB">
        <w:rPr>
          <w:sz w:val="24"/>
          <w:szCs w:val="24"/>
        </w:rPr>
        <w:t xml:space="preserve"> address. </w:t>
      </w:r>
      <w:r w:rsidR="007300F0" w:rsidRPr="00903BCB">
        <w:rPr>
          <w:sz w:val="24"/>
          <w:szCs w:val="24"/>
        </w:rPr>
        <w:t xml:space="preserve">Bahl </w:t>
      </w:r>
      <w:r w:rsidR="00486272" w:rsidRPr="00903BCB">
        <w:rPr>
          <w:sz w:val="24"/>
          <w:szCs w:val="24"/>
        </w:rPr>
        <w:t xml:space="preserve">(2000) </w:t>
      </w:r>
      <w:r w:rsidR="007300F0" w:rsidRPr="00903BCB">
        <w:rPr>
          <w:sz w:val="24"/>
          <w:szCs w:val="24"/>
        </w:rPr>
        <w:t>argues</w:t>
      </w:r>
      <w:r w:rsidR="00026A2F" w:rsidRPr="00903BCB">
        <w:rPr>
          <w:sz w:val="24"/>
          <w:szCs w:val="24"/>
        </w:rPr>
        <w:t xml:space="preserve"> </w:t>
      </w:r>
      <w:r w:rsidR="007300F0" w:rsidRPr="00903BCB">
        <w:rPr>
          <w:sz w:val="24"/>
          <w:szCs w:val="24"/>
        </w:rPr>
        <w:t>that “formulas are meant to remove judgment” (p. 12)</w:t>
      </w:r>
      <w:r w:rsidR="00026A2F" w:rsidRPr="00903BCB">
        <w:rPr>
          <w:sz w:val="24"/>
          <w:szCs w:val="24"/>
        </w:rPr>
        <w:t>, and moreover they</w:t>
      </w:r>
      <w:r w:rsidRPr="00903BCB">
        <w:rPr>
          <w:sz w:val="24"/>
          <w:szCs w:val="24"/>
        </w:rPr>
        <w:t xml:space="preserve"> </w:t>
      </w:r>
      <w:r w:rsidR="007D59F5" w:rsidRPr="00903BCB">
        <w:rPr>
          <w:sz w:val="24"/>
          <w:szCs w:val="24"/>
        </w:rPr>
        <w:t xml:space="preserve">(i) </w:t>
      </w:r>
      <w:r w:rsidRPr="00903BCB">
        <w:rPr>
          <w:sz w:val="24"/>
          <w:szCs w:val="24"/>
        </w:rPr>
        <w:t>bring transparency</w:t>
      </w:r>
      <w:r w:rsidR="007D59F5" w:rsidRPr="00903BCB">
        <w:rPr>
          <w:sz w:val="24"/>
          <w:szCs w:val="24"/>
        </w:rPr>
        <w:t xml:space="preserve"> as </w:t>
      </w:r>
      <w:r w:rsidR="00026A2F" w:rsidRPr="00903BCB">
        <w:rPr>
          <w:sz w:val="24"/>
          <w:szCs w:val="24"/>
        </w:rPr>
        <w:t xml:space="preserve">they </w:t>
      </w:r>
      <w:r w:rsidR="007D59F5" w:rsidRPr="00903BCB">
        <w:rPr>
          <w:sz w:val="24"/>
          <w:szCs w:val="24"/>
        </w:rPr>
        <w:t>clarifies the “rules of the game”</w:t>
      </w:r>
      <w:r w:rsidR="00525D51" w:rsidRPr="00903BCB">
        <w:rPr>
          <w:sz w:val="24"/>
          <w:szCs w:val="24"/>
        </w:rPr>
        <w:t>;</w:t>
      </w:r>
      <w:r w:rsidRPr="00903BCB">
        <w:rPr>
          <w:sz w:val="24"/>
          <w:szCs w:val="24"/>
        </w:rPr>
        <w:t xml:space="preserve"> </w:t>
      </w:r>
      <w:r w:rsidR="007D59F5" w:rsidRPr="00903BCB">
        <w:rPr>
          <w:sz w:val="24"/>
          <w:szCs w:val="24"/>
        </w:rPr>
        <w:t xml:space="preserve">(ii) </w:t>
      </w:r>
      <w:r w:rsidR="00026A2F" w:rsidRPr="00903BCB">
        <w:rPr>
          <w:sz w:val="24"/>
          <w:szCs w:val="24"/>
        </w:rPr>
        <w:t>are</w:t>
      </w:r>
      <w:r w:rsidRPr="00903BCB">
        <w:rPr>
          <w:sz w:val="24"/>
          <w:szCs w:val="24"/>
        </w:rPr>
        <w:t xml:space="preserve"> less </w:t>
      </w:r>
      <w:r w:rsidR="00486272" w:rsidRPr="00903BCB">
        <w:rPr>
          <w:sz w:val="24"/>
          <w:szCs w:val="24"/>
        </w:rPr>
        <w:t xml:space="preserve">subjected to </w:t>
      </w:r>
      <w:r w:rsidRPr="00903BCB">
        <w:rPr>
          <w:sz w:val="24"/>
          <w:szCs w:val="24"/>
        </w:rPr>
        <w:t>political manipulation</w:t>
      </w:r>
      <w:r w:rsidR="007D59F5" w:rsidRPr="00903BCB">
        <w:rPr>
          <w:sz w:val="24"/>
          <w:szCs w:val="24"/>
        </w:rPr>
        <w:t xml:space="preserve"> as </w:t>
      </w:r>
      <w:r w:rsidR="00026A2F" w:rsidRPr="00903BCB">
        <w:rPr>
          <w:sz w:val="24"/>
          <w:szCs w:val="24"/>
        </w:rPr>
        <w:t xml:space="preserve">they </w:t>
      </w:r>
      <w:r w:rsidR="007D59F5" w:rsidRPr="00903BCB">
        <w:rPr>
          <w:sz w:val="24"/>
          <w:szCs w:val="24"/>
        </w:rPr>
        <w:t xml:space="preserve">mitigate </w:t>
      </w:r>
      <w:r w:rsidR="004E7B51" w:rsidRPr="00903BCB">
        <w:rPr>
          <w:sz w:val="24"/>
          <w:szCs w:val="24"/>
        </w:rPr>
        <w:t>arbitra</w:t>
      </w:r>
      <w:r w:rsidR="006B4752" w:rsidRPr="00903BCB">
        <w:rPr>
          <w:sz w:val="24"/>
          <w:szCs w:val="24"/>
        </w:rPr>
        <w:t>ry decisions</w:t>
      </w:r>
      <w:r w:rsidR="00525D51" w:rsidRPr="00903BCB">
        <w:rPr>
          <w:sz w:val="24"/>
          <w:szCs w:val="24"/>
        </w:rPr>
        <w:t>;</w:t>
      </w:r>
      <w:r w:rsidR="00486272" w:rsidRPr="00903BCB">
        <w:rPr>
          <w:sz w:val="24"/>
          <w:szCs w:val="24"/>
        </w:rPr>
        <w:t xml:space="preserve"> </w:t>
      </w:r>
      <w:r w:rsidR="007D59F5" w:rsidRPr="00903BCB">
        <w:rPr>
          <w:sz w:val="24"/>
          <w:szCs w:val="24"/>
        </w:rPr>
        <w:t xml:space="preserve">(iii) set expectations and </w:t>
      </w:r>
      <w:r w:rsidRPr="00903BCB">
        <w:rPr>
          <w:sz w:val="24"/>
          <w:szCs w:val="24"/>
        </w:rPr>
        <w:t>lead to less uncertainty on the part of the local government</w:t>
      </w:r>
      <w:r w:rsidR="00486272" w:rsidRPr="00903BCB">
        <w:rPr>
          <w:sz w:val="24"/>
          <w:szCs w:val="24"/>
        </w:rPr>
        <w:t xml:space="preserve"> </w:t>
      </w:r>
      <w:r w:rsidR="004B0ABE" w:rsidRPr="00903BCB">
        <w:rPr>
          <w:sz w:val="24"/>
          <w:szCs w:val="24"/>
        </w:rPr>
        <w:t>o</w:t>
      </w:r>
      <w:r w:rsidR="007D59F5" w:rsidRPr="00903BCB">
        <w:rPr>
          <w:sz w:val="24"/>
          <w:szCs w:val="24"/>
        </w:rPr>
        <w:t>n</w:t>
      </w:r>
      <w:r w:rsidR="004B0ABE" w:rsidRPr="00903BCB">
        <w:rPr>
          <w:sz w:val="24"/>
          <w:szCs w:val="24"/>
        </w:rPr>
        <w:t xml:space="preserve"> the amounts they will receive</w:t>
      </w:r>
      <w:r w:rsidR="007D59F5" w:rsidRPr="00903BCB">
        <w:rPr>
          <w:sz w:val="24"/>
          <w:szCs w:val="24"/>
        </w:rPr>
        <w:t>,</w:t>
      </w:r>
      <w:r w:rsidR="004B0ABE" w:rsidRPr="00903BCB">
        <w:rPr>
          <w:sz w:val="24"/>
          <w:szCs w:val="24"/>
        </w:rPr>
        <w:t xml:space="preserve"> which then encourages</w:t>
      </w:r>
      <w:r w:rsidR="00486272" w:rsidRPr="00903BCB">
        <w:rPr>
          <w:sz w:val="24"/>
          <w:szCs w:val="24"/>
        </w:rPr>
        <w:t xml:space="preserve"> better </w:t>
      </w:r>
      <w:r w:rsidR="004B0ABE" w:rsidRPr="00903BCB">
        <w:rPr>
          <w:sz w:val="24"/>
          <w:szCs w:val="24"/>
        </w:rPr>
        <w:t xml:space="preserve">fiscal </w:t>
      </w:r>
      <w:r w:rsidR="00486272" w:rsidRPr="00903BCB">
        <w:rPr>
          <w:sz w:val="24"/>
          <w:szCs w:val="24"/>
        </w:rPr>
        <w:t>plan</w:t>
      </w:r>
      <w:r w:rsidR="004B0ABE" w:rsidRPr="00903BCB">
        <w:rPr>
          <w:sz w:val="24"/>
          <w:szCs w:val="24"/>
        </w:rPr>
        <w:t>ning</w:t>
      </w:r>
      <w:r w:rsidR="00486272" w:rsidRPr="00903BCB">
        <w:rPr>
          <w:sz w:val="24"/>
          <w:szCs w:val="24"/>
        </w:rPr>
        <w:t xml:space="preserve"> and </w:t>
      </w:r>
      <w:r w:rsidR="004B0ABE" w:rsidRPr="00903BCB">
        <w:rPr>
          <w:sz w:val="24"/>
          <w:szCs w:val="24"/>
        </w:rPr>
        <w:t xml:space="preserve">effective </w:t>
      </w:r>
      <w:r w:rsidR="00486272" w:rsidRPr="00903BCB">
        <w:rPr>
          <w:sz w:val="24"/>
          <w:szCs w:val="24"/>
        </w:rPr>
        <w:t>budget</w:t>
      </w:r>
      <w:r w:rsidR="004B0ABE" w:rsidRPr="00903BCB">
        <w:rPr>
          <w:sz w:val="24"/>
          <w:szCs w:val="24"/>
        </w:rPr>
        <w:t>ing</w:t>
      </w:r>
      <w:r w:rsidR="00525D51" w:rsidRPr="00903BCB">
        <w:rPr>
          <w:sz w:val="24"/>
          <w:szCs w:val="24"/>
        </w:rPr>
        <w:t>;</w:t>
      </w:r>
      <w:r w:rsidRPr="00903BCB">
        <w:rPr>
          <w:sz w:val="24"/>
          <w:szCs w:val="24"/>
        </w:rPr>
        <w:t xml:space="preserve"> </w:t>
      </w:r>
      <w:r w:rsidR="007D59F5" w:rsidRPr="00903BCB">
        <w:rPr>
          <w:sz w:val="24"/>
          <w:szCs w:val="24"/>
        </w:rPr>
        <w:t>(iv)</w:t>
      </w:r>
      <w:r w:rsidR="004B0ABE" w:rsidRPr="00903BCB">
        <w:rPr>
          <w:sz w:val="24"/>
          <w:szCs w:val="24"/>
        </w:rPr>
        <w:t xml:space="preserve"> </w:t>
      </w:r>
      <w:r w:rsidRPr="00903BCB">
        <w:rPr>
          <w:sz w:val="24"/>
          <w:szCs w:val="24"/>
        </w:rPr>
        <w:t xml:space="preserve">encourage </w:t>
      </w:r>
      <w:r w:rsidR="004B0ABE" w:rsidRPr="00903BCB">
        <w:rPr>
          <w:sz w:val="24"/>
          <w:szCs w:val="24"/>
        </w:rPr>
        <w:t xml:space="preserve">the central government to think of local </w:t>
      </w:r>
      <w:r w:rsidR="007D59F5" w:rsidRPr="00903BCB">
        <w:rPr>
          <w:sz w:val="24"/>
          <w:szCs w:val="24"/>
        </w:rPr>
        <w:t>governments more strategically</w:t>
      </w:r>
      <w:r w:rsidR="00026A2F" w:rsidRPr="00903BCB">
        <w:rPr>
          <w:sz w:val="24"/>
          <w:szCs w:val="24"/>
        </w:rPr>
        <w:t xml:space="preserve"> </w:t>
      </w:r>
      <w:r w:rsidR="003D75F7" w:rsidRPr="00903BCB">
        <w:rPr>
          <w:sz w:val="24"/>
          <w:szCs w:val="24"/>
        </w:rPr>
        <w:t xml:space="preserve">(i.e., </w:t>
      </w:r>
      <w:r w:rsidR="004B0ABE" w:rsidRPr="00903BCB">
        <w:rPr>
          <w:sz w:val="24"/>
          <w:szCs w:val="24"/>
        </w:rPr>
        <w:t>make</w:t>
      </w:r>
      <w:r w:rsidR="007D59F5" w:rsidRPr="00903BCB">
        <w:rPr>
          <w:sz w:val="24"/>
          <w:szCs w:val="24"/>
        </w:rPr>
        <w:t>s</w:t>
      </w:r>
      <w:r w:rsidR="004B0ABE" w:rsidRPr="00903BCB">
        <w:rPr>
          <w:sz w:val="24"/>
          <w:szCs w:val="24"/>
        </w:rPr>
        <w:t xml:space="preserve"> </w:t>
      </w:r>
      <w:r w:rsidR="007D59F5" w:rsidRPr="00903BCB">
        <w:rPr>
          <w:sz w:val="24"/>
          <w:szCs w:val="24"/>
        </w:rPr>
        <w:t xml:space="preserve">it less likely </w:t>
      </w:r>
      <w:r w:rsidR="009F7DED" w:rsidRPr="00903BCB">
        <w:rPr>
          <w:sz w:val="24"/>
          <w:szCs w:val="24"/>
        </w:rPr>
        <w:t>for the central authorities to consider</w:t>
      </w:r>
      <w:r w:rsidR="007D59F5" w:rsidRPr="00903BCB">
        <w:rPr>
          <w:sz w:val="24"/>
          <w:szCs w:val="24"/>
        </w:rPr>
        <w:t xml:space="preserve"> reduction in transfers as a way to offload national budget deficits</w:t>
      </w:r>
      <w:r w:rsidR="003D75F7" w:rsidRPr="00903BCB">
        <w:rPr>
          <w:sz w:val="24"/>
          <w:szCs w:val="24"/>
        </w:rPr>
        <w:t>)</w:t>
      </w:r>
      <w:r w:rsidR="00525D51" w:rsidRPr="00903BCB">
        <w:rPr>
          <w:sz w:val="24"/>
          <w:szCs w:val="24"/>
        </w:rPr>
        <w:t>;</w:t>
      </w:r>
      <w:r w:rsidR="004B0ABE" w:rsidRPr="00903BCB">
        <w:rPr>
          <w:sz w:val="24"/>
          <w:szCs w:val="24"/>
        </w:rPr>
        <w:t xml:space="preserve"> </w:t>
      </w:r>
      <w:r w:rsidR="007D59F5" w:rsidRPr="00903BCB">
        <w:rPr>
          <w:sz w:val="24"/>
          <w:szCs w:val="24"/>
        </w:rPr>
        <w:t xml:space="preserve">and (v) </w:t>
      </w:r>
      <w:r w:rsidR="00026A2F" w:rsidRPr="00903BCB">
        <w:rPr>
          <w:sz w:val="24"/>
          <w:szCs w:val="24"/>
        </w:rPr>
        <w:t>allow</w:t>
      </w:r>
      <w:r w:rsidR="00447D70" w:rsidRPr="00903BCB">
        <w:rPr>
          <w:sz w:val="24"/>
          <w:szCs w:val="24"/>
        </w:rPr>
        <w:t xml:space="preserve"> </w:t>
      </w:r>
      <w:r w:rsidR="007D59F5" w:rsidRPr="00903BCB">
        <w:rPr>
          <w:sz w:val="24"/>
          <w:szCs w:val="24"/>
        </w:rPr>
        <w:t xml:space="preserve">local officials </w:t>
      </w:r>
      <w:r w:rsidR="00447D70" w:rsidRPr="00903BCB">
        <w:rPr>
          <w:sz w:val="24"/>
          <w:szCs w:val="24"/>
        </w:rPr>
        <w:t xml:space="preserve">to </w:t>
      </w:r>
      <w:r w:rsidR="007D59F5" w:rsidRPr="00903BCB">
        <w:rPr>
          <w:sz w:val="24"/>
          <w:szCs w:val="24"/>
        </w:rPr>
        <w:t>feel more in control of their budgets and more accountable to their voters for</w:t>
      </w:r>
      <w:r w:rsidR="00D46C79" w:rsidRPr="00903BCB">
        <w:rPr>
          <w:sz w:val="24"/>
          <w:szCs w:val="24"/>
        </w:rPr>
        <w:t xml:space="preserve"> the level of services provided</w:t>
      </w:r>
      <w:r w:rsidR="006B0BC3" w:rsidRPr="00903BCB">
        <w:rPr>
          <w:sz w:val="24"/>
          <w:szCs w:val="24"/>
        </w:rPr>
        <w:t>.</w:t>
      </w:r>
      <w:r w:rsidR="005247AF" w:rsidRPr="00903BCB">
        <w:rPr>
          <w:sz w:val="24"/>
          <w:szCs w:val="24"/>
        </w:rPr>
        <w:t xml:space="preserve"> </w:t>
      </w:r>
      <w:r w:rsidR="00664AF9" w:rsidRPr="00903BCB">
        <w:rPr>
          <w:sz w:val="24"/>
          <w:szCs w:val="24"/>
        </w:rPr>
        <w:t xml:space="preserve">Bird and Smart (2001) </w:t>
      </w:r>
      <w:r w:rsidR="00E7295B" w:rsidRPr="00903BCB">
        <w:rPr>
          <w:sz w:val="24"/>
          <w:szCs w:val="24"/>
        </w:rPr>
        <w:t>argue that “transfers should be as simple, comprehensible, and reliably predictable as possible”</w:t>
      </w:r>
      <w:r w:rsidR="00DB47F3" w:rsidRPr="00903BCB">
        <w:rPr>
          <w:sz w:val="24"/>
          <w:szCs w:val="24"/>
        </w:rPr>
        <w:t xml:space="preserve"> </w:t>
      </w:r>
      <w:r w:rsidR="00664AF9" w:rsidRPr="00903BCB">
        <w:rPr>
          <w:sz w:val="24"/>
          <w:szCs w:val="24"/>
        </w:rPr>
        <w:t>(p. 10</w:t>
      </w:r>
      <w:r w:rsidR="00E7295B" w:rsidRPr="00903BCB">
        <w:rPr>
          <w:sz w:val="24"/>
          <w:szCs w:val="24"/>
        </w:rPr>
        <w:t>)</w:t>
      </w:r>
      <w:r w:rsidR="005247AF" w:rsidRPr="00903BCB">
        <w:rPr>
          <w:sz w:val="24"/>
          <w:szCs w:val="24"/>
        </w:rPr>
        <w:t>.</w:t>
      </w:r>
      <w:r w:rsidR="00664AF9" w:rsidRPr="00903BCB">
        <w:rPr>
          <w:sz w:val="24"/>
          <w:szCs w:val="24"/>
        </w:rPr>
        <w:t xml:space="preserve"> </w:t>
      </w:r>
      <w:r w:rsidR="00DF1960" w:rsidRPr="00903BCB">
        <w:rPr>
          <w:sz w:val="24"/>
          <w:szCs w:val="24"/>
        </w:rPr>
        <w:t>T</w:t>
      </w:r>
      <w:r w:rsidR="00664AF9" w:rsidRPr="00903BCB">
        <w:rPr>
          <w:sz w:val="24"/>
          <w:szCs w:val="24"/>
        </w:rPr>
        <w:t xml:space="preserve">ransfer parameters </w:t>
      </w:r>
      <w:r w:rsidR="00DF1960" w:rsidRPr="00903BCB">
        <w:rPr>
          <w:sz w:val="24"/>
          <w:szCs w:val="24"/>
        </w:rPr>
        <w:t xml:space="preserve">with these attributes </w:t>
      </w:r>
      <w:r w:rsidR="00664AF9" w:rsidRPr="00903BCB">
        <w:rPr>
          <w:sz w:val="24"/>
          <w:szCs w:val="24"/>
        </w:rPr>
        <w:t xml:space="preserve">work </w:t>
      </w:r>
      <w:r w:rsidR="00DF1960" w:rsidRPr="00903BCB">
        <w:rPr>
          <w:sz w:val="24"/>
          <w:szCs w:val="24"/>
        </w:rPr>
        <w:t>as</w:t>
      </w:r>
      <w:r w:rsidR="00664AF9" w:rsidRPr="00903BCB">
        <w:rPr>
          <w:sz w:val="24"/>
          <w:szCs w:val="24"/>
        </w:rPr>
        <w:t xml:space="preserve"> an informat</w:t>
      </w:r>
      <w:r w:rsidR="00DF1960" w:rsidRPr="00903BCB">
        <w:rPr>
          <w:sz w:val="24"/>
          <w:szCs w:val="24"/>
        </w:rPr>
        <w:t>ion system</w:t>
      </w:r>
      <w:r w:rsidR="00F63795" w:rsidRPr="00903BCB">
        <w:rPr>
          <w:sz w:val="24"/>
          <w:szCs w:val="24"/>
        </w:rPr>
        <w:t>,</w:t>
      </w:r>
      <w:r w:rsidR="00DF1960" w:rsidRPr="00903BCB">
        <w:rPr>
          <w:sz w:val="24"/>
          <w:szCs w:val="24"/>
        </w:rPr>
        <w:t xml:space="preserve"> and </w:t>
      </w:r>
      <w:r w:rsidR="00664AF9" w:rsidRPr="00903BCB">
        <w:rPr>
          <w:sz w:val="24"/>
          <w:szCs w:val="24"/>
        </w:rPr>
        <w:t xml:space="preserve">“good information is essential to ensuring enhanced services </w:t>
      </w:r>
      <w:r w:rsidR="003D75F7" w:rsidRPr="00903BCB">
        <w:rPr>
          <w:sz w:val="24"/>
          <w:szCs w:val="24"/>
        </w:rPr>
        <w:t>...</w:t>
      </w:r>
      <w:r w:rsidR="00026A2F" w:rsidRPr="00903BCB">
        <w:rPr>
          <w:sz w:val="24"/>
          <w:szCs w:val="24"/>
        </w:rPr>
        <w:t xml:space="preserve"> </w:t>
      </w:r>
      <w:r w:rsidR="00664AF9" w:rsidRPr="00903BCB">
        <w:rPr>
          <w:sz w:val="24"/>
          <w:szCs w:val="24"/>
        </w:rPr>
        <w:t>regardless of the status of political democracy” (ibid).</w:t>
      </w:r>
    </w:p>
    <w:p w14:paraId="6B57EB2E" w14:textId="77777777" w:rsidR="00F92789" w:rsidRPr="00903BCB" w:rsidRDefault="00F92789" w:rsidP="00623945">
      <w:pPr>
        <w:spacing w:line="360" w:lineRule="auto"/>
        <w:ind w:left="0" w:right="0"/>
        <w:rPr>
          <w:sz w:val="24"/>
          <w:szCs w:val="24"/>
        </w:rPr>
      </w:pPr>
    </w:p>
    <w:p w14:paraId="477C1AA9" w14:textId="27D2FF1F" w:rsidR="00767EA1" w:rsidRPr="00903BCB" w:rsidRDefault="00824AD7" w:rsidP="00623945">
      <w:pPr>
        <w:spacing w:line="360" w:lineRule="auto"/>
        <w:ind w:left="0" w:right="0"/>
        <w:rPr>
          <w:i/>
          <w:sz w:val="24"/>
          <w:szCs w:val="24"/>
        </w:rPr>
      </w:pPr>
      <w:r w:rsidRPr="00903BCB">
        <w:rPr>
          <w:i/>
          <w:sz w:val="24"/>
          <w:szCs w:val="24"/>
        </w:rPr>
        <w:t>4</w:t>
      </w:r>
      <w:r w:rsidR="00F40612" w:rsidRPr="00903BCB">
        <w:rPr>
          <w:i/>
          <w:sz w:val="24"/>
          <w:szCs w:val="24"/>
        </w:rPr>
        <w:t xml:space="preserve">.1. Transfer </w:t>
      </w:r>
      <w:r w:rsidR="009629CD" w:rsidRPr="00903BCB">
        <w:rPr>
          <w:i/>
          <w:sz w:val="24"/>
          <w:szCs w:val="24"/>
        </w:rPr>
        <w:t>Formula</w:t>
      </w:r>
      <w:r w:rsidR="00AA4307" w:rsidRPr="00903BCB">
        <w:rPr>
          <w:i/>
          <w:sz w:val="24"/>
          <w:szCs w:val="24"/>
        </w:rPr>
        <w:t xml:space="preserve"> </w:t>
      </w:r>
      <w:r w:rsidR="00F40612" w:rsidRPr="00903BCB">
        <w:rPr>
          <w:i/>
          <w:sz w:val="24"/>
          <w:szCs w:val="24"/>
        </w:rPr>
        <w:t xml:space="preserve">Parameters </w:t>
      </w:r>
      <w:r w:rsidR="005201D9" w:rsidRPr="00903BCB">
        <w:rPr>
          <w:i/>
          <w:sz w:val="24"/>
          <w:szCs w:val="24"/>
        </w:rPr>
        <w:t xml:space="preserve">and the Experience of </w:t>
      </w:r>
      <w:r w:rsidR="00026A2F" w:rsidRPr="00903BCB">
        <w:rPr>
          <w:i/>
          <w:sz w:val="24"/>
          <w:szCs w:val="24"/>
        </w:rPr>
        <w:t>O</w:t>
      </w:r>
      <w:r w:rsidR="00AA4307" w:rsidRPr="00903BCB">
        <w:rPr>
          <w:i/>
          <w:sz w:val="24"/>
          <w:szCs w:val="24"/>
        </w:rPr>
        <w:t>ther Countries</w:t>
      </w:r>
    </w:p>
    <w:p w14:paraId="7F17AC58" w14:textId="7A27DD5C" w:rsidR="00C525D5" w:rsidRPr="00903BCB" w:rsidRDefault="00873C81" w:rsidP="00623945">
      <w:pPr>
        <w:spacing w:line="360" w:lineRule="auto"/>
        <w:ind w:left="0" w:right="0"/>
        <w:rPr>
          <w:sz w:val="24"/>
          <w:szCs w:val="24"/>
        </w:rPr>
      </w:pPr>
      <w:r w:rsidRPr="00903BCB">
        <w:rPr>
          <w:sz w:val="24"/>
          <w:szCs w:val="24"/>
        </w:rPr>
        <w:t>In general</w:t>
      </w:r>
      <w:r w:rsidR="00441C80" w:rsidRPr="00903BCB">
        <w:rPr>
          <w:sz w:val="24"/>
          <w:szCs w:val="24"/>
        </w:rPr>
        <w:t>,</w:t>
      </w:r>
      <w:r w:rsidR="00767EA1" w:rsidRPr="00903BCB">
        <w:rPr>
          <w:sz w:val="24"/>
          <w:szCs w:val="24"/>
        </w:rPr>
        <w:t xml:space="preserve"> </w:t>
      </w:r>
      <w:r w:rsidRPr="00903BCB">
        <w:rPr>
          <w:sz w:val="24"/>
          <w:szCs w:val="24"/>
        </w:rPr>
        <w:t xml:space="preserve">formula-based </w:t>
      </w:r>
      <w:r w:rsidR="00767EA1" w:rsidRPr="00903BCB">
        <w:rPr>
          <w:sz w:val="24"/>
          <w:szCs w:val="24"/>
        </w:rPr>
        <w:t>intergovernmental transfe</w:t>
      </w:r>
      <w:r w:rsidRPr="00903BCB">
        <w:rPr>
          <w:sz w:val="24"/>
          <w:szCs w:val="24"/>
        </w:rPr>
        <w:t xml:space="preserve">rs </w:t>
      </w:r>
      <w:r w:rsidR="00767EA1" w:rsidRPr="00903BCB">
        <w:rPr>
          <w:sz w:val="24"/>
          <w:szCs w:val="24"/>
        </w:rPr>
        <w:t xml:space="preserve">are of two </w:t>
      </w:r>
      <w:r w:rsidRPr="00903BCB">
        <w:rPr>
          <w:sz w:val="24"/>
          <w:szCs w:val="24"/>
        </w:rPr>
        <w:t xml:space="preserve">types: </w:t>
      </w:r>
      <w:r w:rsidR="00767EA1" w:rsidRPr="00903BCB">
        <w:rPr>
          <w:sz w:val="24"/>
          <w:szCs w:val="24"/>
        </w:rPr>
        <w:t>conditional and</w:t>
      </w:r>
      <w:r w:rsidRPr="00903BCB">
        <w:rPr>
          <w:sz w:val="24"/>
          <w:szCs w:val="24"/>
        </w:rPr>
        <w:t>/or</w:t>
      </w:r>
      <w:r w:rsidR="00767EA1" w:rsidRPr="00903BCB">
        <w:rPr>
          <w:sz w:val="24"/>
          <w:szCs w:val="24"/>
        </w:rPr>
        <w:t xml:space="preserve"> non-</w:t>
      </w:r>
      <w:r w:rsidRPr="00903BCB">
        <w:rPr>
          <w:sz w:val="24"/>
          <w:szCs w:val="24"/>
        </w:rPr>
        <w:t>conditional</w:t>
      </w:r>
      <w:r w:rsidR="000C4160" w:rsidRPr="00903BCB">
        <w:rPr>
          <w:sz w:val="24"/>
          <w:szCs w:val="24"/>
        </w:rPr>
        <w:t xml:space="preserve"> (Ma 1997)</w:t>
      </w:r>
      <w:r w:rsidRPr="00903BCB">
        <w:rPr>
          <w:sz w:val="24"/>
          <w:szCs w:val="24"/>
        </w:rPr>
        <w:t>.</w:t>
      </w:r>
      <w:r w:rsidR="00767EA1" w:rsidRPr="00903BCB">
        <w:rPr>
          <w:sz w:val="24"/>
          <w:szCs w:val="24"/>
        </w:rPr>
        <w:t xml:space="preserve"> </w:t>
      </w:r>
      <w:r w:rsidR="00026A2F" w:rsidRPr="00903BCB">
        <w:rPr>
          <w:sz w:val="24"/>
          <w:szCs w:val="24"/>
        </w:rPr>
        <w:t>C</w:t>
      </w:r>
      <w:r w:rsidR="00767EA1" w:rsidRPr="00903BCB">
        <w:rPr>
          <w:sz w:val="24"/>
          <w:szCs w:val="24"/>
        </w:rPr>
        <w:t xml:space="preserve">onditional transfers require </w:t>
      </w:r>
      <w:r w:rsidR="00026A2F" w:rsidRPr="00903BCB">
        <w:rPr>
          <w:sz w:val="24"/>
          <w:szCs w:val="24"/>
        </w:rPr>
        <w:t xml:space="preserve">certain </w:t>
      </w:r>
      <w:r w:rsidR="00767EA1" w:rsidRPr="00903BCB">
        <w:rPr>
          <w:sz w:val="24"/>
          <w:szCs w:val="24"/>
        </w:rPr>
        <w:t xml:space="preserve">preconditions be met by local governments before </w:t>
      </w:r>
      <w:r w:rsidR="003D75F7" w:rsidRPr="00903BCB">
        <w:rPr>
          <w:sz w:val="24"/>
          <w:szCs w:val="24"/>
        </w:rPr>
        <w:t>they</w:t>
      </w:r>
      <w:r w:rsidR="00767EA1" w:rsidRPr="00903BCB">
        <w:rPr>
          <w:sz w:val="24"/>
          <w:szCs w:val="24"/>
        </w:rPr>
        <w:t xml:space="preserve"> </w:t>
      </w:r>
      <w:r w:rsidR="00026A2F" w:rsidRPr="00903BCB">
        <w:rPr>
          <w:sz w:val="24"/>
          <w:szCs w:val="24"/>
        </w:rPr>
        <w:t xml:space="preserve">can </w:t>
      </w:r>
      <w:r w:rsidR="00767EA1" w:rsidRPr="00903BCB">
        <w:rPr>
          <w:sz w:val="24"/>
          <w:szCs w:val="24"/>
        </w:rPr>
        <w:t>receive funds</w:t>
      </w:r>
      <w:r w:rsidR="00D7356C" w:rsidRPr="00903BCB">
        <w:rPr>
          <w:sz w:val="24"/>
          <w:szCs w:val="24"/>
        </w:rPr>
        <w:t>,</w:t>
      </w:r>
      <w:r w:rsidR="00767EA1" w:rsidRPr="00903BCB">
        <w:rPr>
          <w:sz w:val="24"/>
          <w:szCs w:val="24"/>
        </w:rPr>
        <w:t xml:space="preserve"> wherea</w:t>
      </w:r>
      <w:r w:rsidR="003D75F7" w:rsidRPr="00903BCB">
        <w:rPr>
          <w:sz w:val="24"/>
          <w:szCs w:val="24"/>
        </w:rPr>
        <w:t>s</w:t>
      </w:r>
      <w:r w:rsidR="00767EA1" w:rsidRPr="00903BCB">
        <w:rPr>
          <w:sz w:val="24"/>
          <w:szCs w:val="24"/>
        </w:rPr>
        <w:t xml:space="preserve"> unconditional transfers do not</w:t>
      </w:r>
      <w:r w:rsidR="000C4160" w:rsidRPr="00903BCB">
        <w:rPr>
          <w:sz w:val="24"/>
          <w:szCs w:val="24"/>
        </w:rPr>
        <w:t xml:space="preserve"> </w:t>
      </w:r>
      <w:r w:rsidR="003D75F7" w:rsidRPr="00903BCB">
        <w:rPr>
          <w:sz w:val="24"/>
          <w:szCs w:val="24"/>
        </w:rPr>
        <w:t xml:space="preserve">have </w:t>
      </w:r>
      <w:r w:rsidR="00767EA1" w:rsidRPr="00903BCB">
        <w:rPr>
          <w:sz w:val="24"/>
          <w:szCs w:val="24"/>
        </w:rPr>
        <w:t>preconditions</w:t>
      </w:r>
      <w:r w:rsidR="000C4160" w:rsidRPr="00903BCB">
        <w:rPr>
          <w:sz w:val="24"/>
          <w:szCs w:val="24"/>
        </w:rPr>
        <w:t xml:space="preserve">. </w:t>
      </w:r>
      <w:r w:rsidR="00D7356C" w:rsidRPr="00903BCB">
        <w:rPr>
          <w:sz w:val="24"/>
          <w:szCs w:val="24"/>
        </w:rPr>
        <w:t>A f</w:t>
      </w:r>
      <w:r w:rsidR="000C4160" w:rsidRPr="00903BCB">
        <w:rPr>
          <w:sz w:val="24"/>
          <w:szCs w:val="24"/>
        </w:rPr>
        <w:t>ormula’s design</w:t>
      </w:r>
      <w:r w:rsidR="00767EA1" w:rsidRPr="00903BCB">
        <w:rPr>
          <w:sz w:val="24"/>
          <w:szCs w:val="24"/>
        </w:rPr>
        <w:t xml:space="preserve"> </w:t>
      </w:r>
      <w:r w:rsidR="000C4160" w:rsidRPr="00903BCB">
        <w:rPr>
          <w:sz w:val="24"/>
          <w:szCs w:val="24"/>
        </w:rPr>
        <w:t>includes many factors</w:t>
      </w:r>
      <w:r w:rsidR="00D7356C" w:rsidRPr="00903BCB">
        <w:rPr>
          <w:sz w:val="24"/>
          <w:szCs w:val="24"/>
        </w:rPr>
        <w:t>,</w:t>
      </w:r>
      <w:r w:rsidR="000C4160" w:rsidRPr="00903BCB">
        <w:rPr>
          <w:sz w:val="24"/>
          <w:szCs w:val="24"/>
        </w:rPr>
        <w:t xml:space="preserve"> </w:t>
      </w:r>
      <w:r w:rsidR="00026A2F" w:rsidRPr="00903BCB">
        <w:rPr>
          <w:sz w:val="24"/>
          <w:szCs w:val="24"/>
        </w:rPr>
        <w:t>which can be</w:t>
      </w:r>
      <w:r w:rsidR="000C4160" w:rsidRPr="00903BCB">
        <w:rPr>
          <w:sz w:val="24"/>
          <w:szCs w:val="24"/>
        </w:rPr>
        <w:t xml:space="preserve"> grouped into two </w:t>
      </w:r>
      <w:r w:rsidR="00B8182B" w:rsidRPr="00903BCB">
        <w:rPr>
          <w:sz w:val="24"/>
          <w:szCs w:val="24"/>
        </w:rPr>
        <w:t xml:space="preserve">broad </w:t>
      </w:r>
      <w:r w:rsidR="000C4160" w:rsidRPr="00903BCB">
        <w:rPr>
          <w:sz w:val="24"/>
          <w:szCs w:val="24"/>
        </w:rPr>
        <w:t xml:space="preserve">categories: local needs and local </w:t>
      </w:r>
      <w:r w:rsidR="00767EA1" w:rsidRPr="00903BCB">
        <w:rPr>
          <w:sz w:val="24"/>
          <w:szCs w:val="24"/>
        </w:rPr>
        <w:t>fiscal capacity</w:t>
      </w:r>
      <w:r w:rsidR="000C4160" w:rsidRPr="00903BCB">
        <w:rPr>
          <w:sz w:val="24"/>
          <w:szCs w:val="24"/>
        </w:rPr>
        <w:t xml:space="preserve"> (Ma 1997).</w:t>
      </w:r>
      <w:r w:rsidR="00615F43" w:rsidRPr="00903BCB">
        <w:rPr>
          <w:sz w:val="24"/>
          <w:szCs w:val="24"/>
        </w:rPr>
        <w:t xml:space="preserve"> While the first focus</w:t>
      </w:r>
      <w:r w:rsidR="00D7356C" w:rsidRPr="00903BCB">
        <w:rPr>
          <w:sz w:val="24"/>
          <w:szCs w:val="24"/>
        </w:rPr>
        <w:t>es</w:t>
      </w:r>
      <w:r w:rsidR="00615F43" w:rsidRPr="00903BCB">
        <w:rPr>
          <w:sz w:val="24"/>
          <w:szCs w:val="24"/>
        </w:rPr>
        <w:t xml:space="preserve"> on the demand side of populations</w:t>
      </w:r>
      <w:r w:rsidR="00D7356C" w:rsidRPr="00903BCB">
        <w:rPr>
          <w:sz w:val="24"/>
          <w:szCs w:val="24"/>
        </w:rPr>
        <w:t>,</w:t>
      </w:r>
      <w:r w:rsidR="00615F43" w:rsidRPr="00903BCB">
        <w:rPr>
          <w:sz w:val="24"/>
          <w:szCs w:val="24"/>
        </w:rPr>
        <w:t xml:space="preserve"> the second focus</w:t>
      </w:r>
      <w:r w:rsidR="00D7356C" w:rsidRPr="00903BCB">
        <w:rPr>
          <w:sz w:val="24"/>
          <w:szCs w:val="24"/>
        </w:rPr>
        <w:t>es</w:t>
      </w:r>
      <w:r w:rsidR="00615F43" w:rsidRPr="00903BCB">
        <w:rPr>
          <w:sz w:val="24"/>
          <w:szCs w:val="24"/>
        </w:rPr>
        <w:t xml:space="preserve"> on the supply side of public administration.</w:t>
      </w:r>
    </w:p>
    <w:p w14:paraId="4A3B9BD6" w14:textId="77777777" w:rsidR="003D7F07" w:rsidRPr="00903BCB" w:rsidRDefault="003D7F07" w:rsidP="00766AD0">
      <w:pPr>
        <w:spacing w:line="360" w:lineRule="auto"/>
        <w:ind w:left="0" w:right="0"/>
        <w:rPr>
          <w:sz w:val="24"/>
          <w:szCs w:val="24"/>
        </w:rPr>
      </w:pPr>
    </w:p>
    <w:p w14:paraId="58BF8069" w14:textId="77777777" w:rsidR="00D535D7" w:rsidRPr="00903BCB" w:rsidRDefault="00D535D7" w:rsidP="00D535D7">
      <w:pPr>
        <w:spacing w:line="360" w:lineRule="auto"/>
        <w:ind w:left="0" w:right="0"/>
        <w:rPr>
          <w:bCs/>
          <w:sz w:val="24"/>
          <w:szCs w:val="24"/>
        </w:rPr>
      </w:pPr>
      <w:r w:rsidRPr="00903BCB">
        <w:rPr>
          <w:bCs/>
          <w:sz w:val="24"/>
          <w:szCs w:val="24"/>
        </w:rPr>
        <w:t>Martinez-Vazquez and Boex (2002) argue that an intergovernmental transfer formula should respect ten core principles:</w:t>
      </w:r>
    </w:p>
    <w:p w14:paraId="45AE2A37" w14:textId="77777777" w:rsidR="00D535D7" w:rsidRPr="00903BCB" w:rsidRDefault="00D535D7" w:rsidP="00D535D7">
      <w:pPr>
        <w:numPr>
          <w:ilvl w:val="0"/>
          <w:numId w:val="31"/>
        </w:numPr>
        <w:spacing w:line="360" w:lineRule="auto"/>
        <w:ind w:right="0"/>
        <w:rPr>
          <w:bCs/>
          <w:sz w:val="24"/>
          <w:szCs w:val="24"/>
        </w:rPr>
      </w:pPr>
      <w:r w:rsidRPr="00903BCB">
        <w:rPr>
          <w:bCs/>
          <w:sz w:val="24"/>
          <w:szCs w:val="24"/>
        </w:rPr>
        <w:t>Equity: The formula is fair; municipalities receive their fair share to be able to fulfill the transfers’ objective;</w:t>
      </w:r>
    </w:p>
    <w:p w14:paraId="4596534D" w14:textId="77777777" w:rsidR="00D535D7" w:rsidRPr="00903BCB" w:rsidRDefault="00D535D7" w:rsidP="00D535D7">
      <w:pPr>
        <w:numPr>
          <w:ilvl w:val="0"/>
          <w:numId w:val="31"/>
        </w:numPr>
        <w:spacing w:line="360" w:lineRule="auto"/>
        <w:ind w:right="0"/>
        <w:rPr>
          <w:bCs/>
          <w:sz w:val="24"/>
          <w:szCs w:val="24"/>
        </w:rPr>
      </w:pPr>
      <w:r w:rsidRPr="00903BCB">
        <w:rPr>
          <w:bCs/>
          <w:sz w:val="24"/>
          <w:szCs w:val="24"/>
        </w:rPr>
        <w:t>Simplicity: The formula includes few variables and simple calculations;</w:t>
      </w:r>
    </w:p>
    <w:p w14:paraId="33068A37" w14:textId="77777777" w:rsidR="00D535D7" w:rsidRPr="00903BCB" w:rsidRDefault="00D535D7" w:rsidP="00D535D7">
      <w:pPr>
        <w:numPr>
          <w:ilvl w:val="0"/>
          <w:numId w:val="31"/>
        </w:numPr>
        <w:spacing w:line="360" w:lineRule="auto"/>
        <w:ind w:right="0"/>
        <w:rPr>
          <w:bCs/>
          <w:sz w:val="24"/>
          <w:szCs w:val="24"/>
        </w:rPr>
      </w:pPr>
      <w:r w:rsidRPr="00903BCB">
        <w:rPr>
          <w:bCs/>
          <w:sz w:val="24"/>
          <w:szCs w:val="24"/>
        </w:rPr>
        <w:t>Transparency: The formula is understandable for the users;</w:t>
      </w:r>
    </w:p>
    <w:p w14:paraId="1CF12045" w14:textId="77777777" w:rsidR="00D535D7" w:rsidRPr="00903BCB" w:rsidRDefault="00D535D7" w:rsidP="00D535D7">
      <w:pPr>
        <w:numPr>
          <w:ilvl w:val="0"/>
          <w:numId w:val="31"/>
        </w:numPr>
        <w:spacing w:line="360" w:lineRule="auto"/>
        <w:ind w:right="0"/>
        <w:rPr>
          <w:bCs/>
          <w:sz w:val="24"/>
          <w:szCs w:val="24"/>
        </w:rPr>
      </w:pPr>
      <w:r w:rsidRPr="00903BCB">
        <w:rPr>
          <w:bCs/>
          <w:sz w:val="24"/>
          <w:szCs w:val="24"/>
        </w:rPr>
        <w:t>Need-driven: The variables reflect demand for services and not the actual expenditure structure;</w:t>
      </w:r>
    </w:p>
    <w:p w14:paraId="696FCB0F" w14:textId="77777777" w:rsidR="00D535D7" w:rsidRPr="00903BCB" w:rsidRDefault="00D535D7" w:rsidP="00D535D7">
      <w:pPr>
        <w:numPr>
          <w:ilvl w:val="0"/>
          <w:numId w:val="31"/>
        </w:numPr>
        <w:spacing w:line="360" w:lineRule="auto"/>
        <w:ind w:right="0"/>
        <w:rPr>
          <w:bCs/>
          <w:sz w:val="24"/>
          <w:szCs w:val="24"/>
        </w:rPr>
      </w:pPr>
      <w:r w:rsidRPr="00903BCB">
        <w:rPr>
          <w:bCs/>
          <w:sz w:val="24"/>
          <w:szCs w:val="24"/>
        </w:rPr>
        <w:t>Stability: Large changes in allocations from one year to the next will not take place unless an objective reason exists, such as a large change in one variable;</w:t>
      </w:r>
    </w:p>
    <w:p w14:paraId="00CDF00B" w14:textId="77777777" w:rsidR="00D535D7" w:rsidRPr="00903BCB" w:rsidRDefault="00D535D7" w:rsidP="00D535D7">
      <w:pPr>
        <w:numPr>
          <w:ilvl w:val="0"/>
          <w:numId w:val="31"/>
        </w:numPr>
        <w:spacing w:line="360" w:lineRule="auto"/>
        <w:ind w:right="0"/>
        <w:rPr>
          <w:bCs/>
          <w:sz w:val="24"/>
          <w:szCs w:val="24"/>
        </w:rPr>
      </w:pPr>
      <w:r w:rsidRPr="00903BCB">
        <w:rPr>
          <w:bCs/>
          <w:sz w:val="24"/>
          <w:szCs w:val="24"/>
        </w:rPr>
        <w:t>Immunity to local manipulation: It is not possible to manipulate the data;</w:t>
      </w:r>
    </w:p>
    <w:p w14:paraId="777E978E" w14:textId="77777777" w:rsidR="00D535D7" w:rsidRPr="00903BCB" w:rsidRDefault="00D535D7" w:rsidP="00D535D7">
      <w:pPr>
        <w:numPr>
          <w:ilvl w:val="0"/>
          <w:numId w:val="31"/>
        </w:numPr>
        <w:spacing w:line="360" w:lineRule="auto"/>
        <w:ind w:right="0"/>
        <w:rPr>
          <w:bCs/>
          <w:sz w:val="24"/>
          <w:szCs w:val="24"/>
        </w:rPr>
      </w:pPr>
      <w:r w:rsidRPr="00903BCB">
        <w:rPr>
          <w:bCs/>
          <w:sz w:val="24"/>
          <w:szCs w:val="24"/>
        </w:rPr>
        <w:t>Budget autonomy: The formula should not affect municipalities’ budget autonomy;</w:t>
      </w:r>
    </w:p>
    <w:p w14:paraId="4E892051" w14:textId="77777777" w:rsidR="00D535D7" w:rsidRPr="00903BCB" w:rsidRDefault="00D535D7" w:rsidP="00D535D7">
      <w:pPr>
        <w:numPr>
          <w:ilvl w:val="0"/>
          <w:numId w:val="31"/>
        </w:numPr>
        <w:spacing w:line="360" w:lineRule="auto"/>
        <w:ind w:right="0"/>
        <w:rPr>
          <w:bCs/>
          <w:sz w:val="24"/>
          <w:szCs w:val="24"/>
        </w:rPr>
      </w:pPr>
      <w:r w:rsidRPr="00903BCB">
        <w:rPr>
          <w:bCs/>
          <w:sz w:val="24"/>
          <w:szCs w:val="24"/>
        </w:rPr>
        <w:t>Incentive neutrality: The formula does not create disincentives for municipalities (e.g., for revenue collection or responsible financial management);</w:t>
      </w:r>
    </w:p>
    <w:p w14:paraId="7DA9A0DC" w14:textId="77777777" w:rsidR="00D535D7" w:rsidRPr="00903BCB" w:rsidRDefault="00D535D7" w:rsidP="00D535D7">
      <w:pPr>
        <w:numPr>
          <w:ilvl w:val="0"/>
          <w:numId w:val="31"/>
        </w:numPr>
        <w:spacing w:line="360" w:lineRule="auto"/>
        <w:ind w:right="0"/>
        <w:rPr>
          <w:bCs/>
          <w:sz w:val="24"/>
          <w:szCs w:val="24"/>
        </w:rPr>
      </w:pPr>
      <w:r w:rsidRPr="00903BCB">
        <w:rPr>
          <w:bCs/>
          <w:sz w:val="24"/>
          <w:szCs w:val="24"/>
        </w:rPr>
        <w:t>Existence of data: Reliable data exists which is updated and published regularly;</w:t>
      </w:r>
    </w:p>
    <w:p w14:paraId="195BB396" w14:textId="30BFD97A" w:rsidR="00D535D7" w:rsidRPr="00903BCB" w:rsidRDefault="00D535D7" w:rsidP="00D535D7">
      <w:pPr>
        <w:numPr>
          <w:ilvl w:val="0"/>
          <w:numId w:val="31"/>
        </w:numPr>
        <w:spacing w:line="360" w:lineRule="auto"/>
        <w:ind w:right="0"/>
        <w:rPr>
          <w:bCs/>
          <w:sz w:val="24"/>
          <w:szCs w:val="24"/>
        </w:rPr>
      </w:pPr>
      <w:r w:rsidRPr="00903BCB">
        <w:rPr>
          <w:bCs/>
          <w:sz w:val="24"/>
          <w:szCs w:val="24"/>
        </w:rPr>
        <w:t>Acceptance, independence of data source: The data supplier is accepted and independent.</w:t>
      </w:r>
    </w:p>
    <w:p w14:paraId="6E053497" w14:textId="77777777" w:rsidR="00D535D7" w:rsidRPr="00903BCB" w:rsidRDefault="00D535D7" w:rsidP="00766AD0">
      <w:pPr>
        <w:spacing w:line="360" w:lineRule="auto"/>
        <w:ind w:left="0" w:right="0"/>
        <w:rPr>
          <w:sz w:val="24"/>
          <w:szCs w:val="24"/>
        </w:rPr>
      </w:pPr>
    </w:p>
    <w:p w14:paraId="15ABEB21" w14:textId="5B6B4BCB" w:rsidR="00623945" w:rsidRPr="00903BCB" w:rsidRDefault="00B307BB" w:rsidP="00F92789">
      <w:pPr>
        <w:spacing w:line="360" w:lineRule="auto"/>
        <w:ind w:left="0" w:right="0"/>
        <w:rPr>
          <w:sz w:val="24"/>
          <w:szCs w:val="24"/>
        </w:rPr>
      </w:pPr>
      <w:r w:rsidRPr="00903BCB">
        <w:rPr>
          <w:sz w:val="24"/>
          <w:szCs w:val="24"/>
        </w:rPr>
        <w:t>Taxes are the main source of Jordan’s national budget and they are fully collected and managed by the central government</w:t>
      </w:r>
      <w:r w:rsidR="00C525D5" w:rsidRPr="00903BCB">
        <w:rPr>
          <w:sz w:val="24"/>
          <w:szCs w:val="24"/>
        </w:rPr>
        <w:t>.</w:t>
      </w:r>
      <w:r w:rsidR="003D7F07" w:rsidRPr="00903BCB">
        <w:rPr>
          <w:sz w:val="24"/>
          <w:szCs w:val="24"/>
        </w:rPr>
        <w:t xml:space="preserve"> In</w:t>
      </w:r>
      <w:r w:rsidR="00FD1CB4" w:rsidRPr="00903BCB">
        <w:rPr>
          <w:sz w:val="24"/>
          <w:szCs w:val="24"/>
        </w:rPr>
        <w:t xml:space="preserve"> 2009 and 2010</w:t>
      </w:r>
      <w:r w:rsidR="00D7356C" w:rsidRPr="00903BCB">
        <w:rPr>
          <w:sz w:val="24"/>
          <w:szCs w:val="24"/>
        </w:rPr>
        <w:t>,</w:t>
      </w:r>
      <w:r w:rsidR="00766AD0" w:rsidRPr="00903BCB">
        <w:rPr>
          <w:sz w:val="24"/>
          <w:szCs w:val="24"/>
        </w:rPr>
        <w:t xml:space="preserve"> taxes represent</w:t>
      </w:r>
      <w:r w:rsidR="003D7F07" w:rsidRPr="00903BCB">
        <w:rPr>
          <w:sz w:val="24"/>
          <w:szCs w:val="24"/>
        </w:rPr>
        <w:t>ed</w:t>
      </w:r>
      <w:r w:rsidR="00FD1CB4" w:rsidRPr="00903BCB">
        <w:rPr>
          <w:sz w:val="24"/>
          <w:szCs w:val="24"/>
        </w:rPr>
        <w:t xml:space="preserve"> 64% of the </w:t>
      </w:r>
      <w:r w:rsidR="00766AD0" w:rsidRPr="00903BCB">
        <w:rPr>
          <w:sz w:val="24"/>
          <w:szCs w:val="24"/>
        </w:rPr>
        <w:t xml:space="preserve">total </w:t>
      </w:r>
      <w:r w:rsidR="00FD1CB4" w:rsidRPr="00903BCB">
        <w:rPr>
          <w:sz w:val="24"/>
          <w:szCs w:val="24"/>
        </w:rPr>
        <w:t xml:space="preserve">national revenue, </w:t>
      </w:r>
      <w:r w:rsidR="00766AD0" w:rsidRPr="00903BCB">
        <w:rPr>
          <w:sz w:val="24"/>
          <w:szCs w:val="24"/>
        </w:rPr>
        <w:t>and</w:t>
      </w:r>
      <w:r w:rsidR="00FD1CB4" w:rsidRPr="00903BCB">
        <w:rPr>
          <w:sz w:val="24"/>
          <w:szCs w:val="24"/>
        </w:rPr>
        <w:t xml:space="preserve"> </w:t>
      </w:r>
      <w:r w:rsidR="003D7F07" w:rsidRPr="00903BCB">
        <w:rPr>
          <w:sz w:val="24"/>
          <w:szCs w:val="24"/>
        </w:rPr>
        <w:t>56%</w:t>
      </w:r>
      <w:r w:rsidR="00FD1CB4" w:rsidRPr="00903BCB">
        <w:rPr>
          <w:sz w:val="24"/>
          <w:szCs w:val="24"/>
        </w:rPr>
        <w:t xml:space="preserve"> </w:t>
      </w:r>
      <w:r w:rsidR="003D7F07" w:rsidRPr="00903BCB">
        <w:rPr>
          <w:sz w:val="24"/>
          <w:szCs w:val="24"/>
        </w:rPr>
        <w:t xml:space="preserve">in </w:t>
      </w:r>
      <w:r w:rsidR="00FD1CB4" w:rsidRPr="00903BCB">
        <w:rPr>
          <w:sz w:val="24"/>
          <w:szCs w:val="24"/>
        </w:rPr>
        <w:t>2011</w:t>
      </w:r>
      <w:r w:rsidR="00F337A3" w:rsidRPr="00903BCB">
        <w:rPr>
          <w:rStyle w:val="FootnoteReference"/>
          <w:sz w:val="24"/>
          <w:szCs w:val="24"/>
        </w:rPr>
        <w:footnoteReference w:id="9"/>
      </w:r>
      <w:r w:rsidR="00FD1CB4" w:rsidRPr="00903BCB">
        <w:rPr>
          <w:sz w:val="24"/>
          <w:szCs w:val="24"/>
        </w:rPr>
        <w:t>.</w:t>
      </w:r>
      <w:r w:rsidR="003D7F07" w:rsidRPr="00903BCB">
        <w:rPr>
          <w:sz w:val="24"/>
          <w:szCs w:val="24"/>
        </w:rPr>
        <w:t xml:space="preserve"> </w:t>
      </w:r>
      <w:r w:rsidR="00D87DE7" w:rsidRPr="00903BCB">
        <w:rPr>
          <w:sz w:val="24"/>
          <w:szCs w:val="24"/>
        </w:rPr>
        <w:t>With local fiscal capacity uniformly non-existent across the country</w:t>
      </w:r>
      <w:r w:rsidR="00F92789" w:rsidRPr="00903BCB">
        <w:rPr>
          <w:sz w:val="24"/>
          <w:szCs w:val="24"/>
        </w:rPr>
        <w:t xml:space="preserve"> (i.e., there are no allowable local revenues)</w:t>
      </w:r>
      <w:r w:rsidR="00D87DE7" w:rsidRPr="00903BCB">
        <w:rPr>
          <w:sz w:val="24"/>
          <w:szCs w:val="24"/>
        </w:rPr>
        <w:t xml:space="preserve">, a formula for Jordan has to focus </w:t>
      </w:r>
      <w:r w:rsidR="00615F43" w:rsidRPr="00903BCB">
        <w:rPr>
          <w:sz w:val="24"/>
          <w:szCs w:val="24"/>
        </w:rPr>
        <w:t xml:space="preserve">entirely </w:t>
      </w:r>
      <w:r w:rsidR="00D87DE7" w:rsidRPr="00903BCB">
        <w:rPr>
          <w:sz w:val="24"/>
          <w:szCs w:val="24"/>
        </w:rPr>
        <w:t>on ways of measuring local needs</w:t>
      </w:r>
      <w:r w:rsidR="00461C91" w:rsidRPr="00903BCB">
        <w:rPr>
          <w:sz w:val="24"/>
          <w:szCs w:val="24"/>
        </w:rPr>
        <w:t xml:space="preserve">, </w:t>
      </w:r>
      <w:r w:rsidR="00416642" w:rsidRPr="00903BCB">
        <w:rPr>
          <w:sz w:val="24"/>
          <w:szCs w:val="24"/>
        </w:rPr>
        <w:t>current and future</w:t>
      </w:r>
      <w:r w:rsidR="00461C91" w:rsidRPr="00903BCB">
        <w:rPr>
          <w:sz w:val="24"/>
          <w:szCs w:val="24"/>
        </w:rPr>
        <w:t xml:space="preserve">, </w:t>
      </w:r>
      <w:r w:rsidR="00D87DE7" w:rsidRPr="00903BCB">
        <w:rPr>
          <w:sz w:val="24"/>
          <w:szCs w:val="24"/>
        </w:rPr>
        <w:t>as its main methodology to address hor</w:t>
      </w:r>
      <w:r w:rsidR="00593569" w:rsidRPr="00903BCB">
        <w:rPr>
          <w:sz w:val="24"/>
          <w:szCs w:val="24"/>
        </w:rPr>
        <w:t>izontal balance (Bird and Smart</w:t>
      </w:r>
      <w:r w:rsidR="00D87DE7" w:rsidRPr="00903BCB">
        <w:rPr>
          <w:sz w:val="24"/>
          <w:szCs w:val="24"/>
        </w:rPr>
        <w:t xml:space="preserve"> 2001). Population size, population density, poverty level, unemployment rate, area, life expectancy, and school enrol</w:t>
      </w:r>
      <w:r w:rsidR="00D7356C" w:rsidRPr="00903BCB">
        <w:rPr>
          <w:sz w:val="24"/>
          <w:szCs w:val="24"/>
        </w:rPr>
        <w:t>l</w:t>
      </w:r>
      <w:r w:rsidR="00321FB4" w:rsidRPr="00903BCB">
        <w:rPr>
          <w:sz w:val="24"/>
          <w:szCs w:val="24"/>
        </w:rPr>
        <w:t>ments are some of the parameters</w:t>
      </w:r>
      <w:r w:rsidR="00D87DE7" w:rsidRPr="00903BCB">
        <w:rPr>
          <w:sz w:val="24"/>
          <w:szCs w:val="24"/>
        </w:rPr>
        <w:t xml:space="preserve"> used by different countries (see Table </w:t>
      </w:r>
      <w:r w:rsidR="00824AD7" w:rsidRPr="00903BCB">
        <w:rPr>
          <w:sz w:val="24"/>
          <w:szCs w:val="24"/>
        </w:rPr>
        <w:t>3</w:t>
      </w:r>
      <w:r w:rsidR="00C41DA7" w:rsidRPr="00903BCB">
        <w:rPr>
          <w:sz w:val="24"/>
          <w:szCs w:val="24"/>
        </w:rPr>
        <w:t xml:space="preserve"> for </w:t>
      </w:r>
      <w:r w:rsidRPr="00903BCB">
        <w:rPr>
          <w:sz w:val="24"/>
          <w:szCs w:val="24"/>
        </w:rPr>
        <w:t>parameters used</w:t>
      </w:r>
      <w:r w:rsidR="008A7C96" w:rsidRPr="00903BCB">
        <w:rPr>
          <w:sz w:val="24"/>
          <w:szCs w:val="24"/>
        </w:rPr>
        <w:t xml:space="preserve"> </w:t>
      </w:r>
      <w:r w:rsidRPr="00903BCB">
        <w:rPr>
          <w:sz w:val="24"/>
          <w:szCs w:val="24"/>
        </w:rPr>
        <w:t xml:space="preserve">by different </w:t>
      </w:r>
      <w:r w:rsidR="008A7C96" w:rsidRPr="00903BCB">
        <w:rPr>
          <w:sz w:val="24"/>
          <w:szCs w:val="24"/>
        </w:rPr>
        <w:t>countries</w:t>
      </w:r>
      <w:r w:rsidR="00D87DE7" w:rsidRPr="00903BCB">
        <w:rPr>
          <w:sz w:val="24"/>
          <w:szCs w:val="24"/>
        </w:rPr>
        <w:t>).</w:t>
      </w:r>
    </w:p>
    <w:p w14:paraId="57267C61" w14:textId="77777777" w:rsidR="001F5B72" w:rsidRPr="00903BCB" w:rsidRDefault="001F5B72" w:rsidP="00575BF6">
      <w:pPr>
        <w:ind w:left="0" w:right="0"/>
        <w:jc w:val="left"/>
        <w:rPr>
          <w:sz w:val="24"/>
          <w:szCs w:val="24"/>
        </w:rPr>
      </w:pPr>
    </w:p>
    <w:p w14:paraId="7A7E87A7" w14:textId="3E4797B1" w:rsidR="000D0C31" w:rsidRPr="00903BCB" w:rsidRDefault="000D0C31" w:rsidP="00575BF6">
      <w:pPr>
        <w:ind w:left="0" w:right="0"/>
        <w:jc w:val="left"/>
        <w:rPr>
          <w:bCs/>
          <w:sz w:val="24"/>
          <w:szCs w:val="24"/>
          <w:lang w:val="en-GB"/>
        </w:rPr>
      </w:pPr>
      <w:r w:rsidRPr="00903BCB">
        <w:rPr>
          <w:b/>
          <w:bCs/>
          <w:sz w:val="24"/>
          <w:szCs w:val="24"/>
          <w:lang w:val="en-GB"/>
        </w:rPr>
        <w:t xml:space="preserve">Table </w:t>
      </w:r>
      <w:r w:rsidR="00824AD7" w:rsidRPr="00903BCB">
        <w:rPr>
          <w:b/>
          <w:bCs/>
          <w:sz w:val="24"/>
          <w:szCs w:val="24"/>
          <w:lang w:val="en-GB"/>
        </w:rPr>
        <w:t>3</w:t>
      </w:r>
      <w:r w:rsidRPr="00903BCB">
        <w:rPr>
          <w:b/>
          <w:bCs/>
          <w:sz w:val="24"/>
          <w:szCs w:val="24"/>
          <w:lang w:val="en-GB"/>
        </w:rPr>
        <w:t>:</w:t>
      </w:r>
      <w:r w:rsidRPr="00903BCB">
        <w:rPr>
          <w:bCs/>
          <w:sz w:val="24"/>
          <w:szCs w:val="24"/>
          <w:lang w:val="en-GB"/>
        </w:rPr>
        <w:t xml:space="preserve"> Comparat</w:t>
      </w:r>
      <w:r w:rsidR="00321FB4" w:rsidRPr="00903BCB">
        <w:rPr>
          <w:bCs/>
          <w:sz w:val="24"/>
          <w:szCs w:val="24"/>
          <w:lang w:val="en-GB"/>
        </w:rPr>
        <w:t xml:space="preserve">ive Analysis of </w:t>
      </w:r>
      <w:r w:rsidR="00B307BB" w:rsidRPr="00903BCB">
        <w:rPr>
          <w:bCs/>
          <w:sz w:val="24"/>
          <w:szCs w:val="24"/>
          <w:lang w:val="en-GB"/>
        </w:rPr>
        <w:t xml:space="preserve">International </w:t>
      </w:r>
      <w:r w:rsidR="00321FB4" w:rsidRPr="00903BCB">
        <w:rPr>
          <w:bCs/>
          <w:sz w:val="24"/>
          <w:szCs w:val="24"/>
          <w:lang w:val="en-GB"/>
        </w:rPr>
        <w:t>Formula Parameters</w:t>
      </w:r>
      <w:r w:rsidR="00A65A73" w:rsidRPr="00903BCB">
        <w:rPr>
          <w:rStyle w:val="FootnoteReference"/>
          <w:bCs/>
          <w:sz w:val="24"/>
          <w:szCs w:val="24"/>
          <w:lang w:val="en-GB"/>
        </w:rPr>
        <w:footnoteReference w:id="10"/>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630"/>
        <w:gridCol w:w="630"/>
        <w:gridCol w:w="900"/>
        <w:gridCol w:w="900"/>
        <w:gridCol w:w="1530"/>
        <w:gridCol w:w="1620"/>
        <w:gridCol w:w="1080"/>
        <w:gridCol w:w="1350"/>
      </w:tblGrid>
      <w:tr w:rsidR="00BE526A" w:rsidRPr="00903BCB" w14:paraId="2D30BDA0" w14:textId="77777777" w:rsidTr="00FB4145">
        <w:tc>
          <w:tcPr>
            <w:tcW w:w="1098" w:type="dxa"/>
            <w:shd w:val="clear" w:color="auto" w:fill="auto"/>
          </w:tcPr>
          <w:p w14:paraId="6326F984" w14:textId="77777777" w:rsidR="007E31BC" w:rsidRPr="00903BCB" w:rsidRDefault="007E31BC" w:rsidP="00902DD6">
            <w:pPr>
              <w:bidi/>
              <w:ind w:left="0" w:right="0"/>
              <w:jc w:val="left"/>
              <w:rPr>
                <w:sz w:val="24"/>
                <w:szCs w:val="24"/>
                <w:lang w:bidi="ar-JO"/>
              </w:rPr>
            </w:pPr>
          </w:p>
        </w:tc>
        <w:tc>
          <w:tcPr>
            <w:tcW w:w="630" w:type="dxa"/>
            <w:shd w:val="clear" w:color="auto" w:fill="auto"/>
            <w:vAlign w:val="center"/>
          </w:tcPr>
          <w:p w14:paraId="693F33DD" w14:textId="77777777" w:rsidR="007E31BC" w:rsidRPr="00903BCB" w:rsidRDefault="007E31BC" w:rsidP="00BE526A">
            <w:pPr>
              <w:bidi/>
              <w:ind w:left="0" w:right="0"/>
              <w:jc w:val="center"/>
              <w:rPr>
                <w:sz w:val="24"/>
                <w:szCs w:val="24"/>
                <w:lang w:bidi="ar-JO"/>
              </w:rPr>
            </w:pPr>
            <w:r w:rsidRPr="00903BCB">
              <w:rPr>
                <w:sz w:val="24"/>
                <w:szCs w:val="24"/>
                <w:lang w:bidi="ar-JO"/>
              </w:rPr>
              <w:t>Pop</w:t>
            </w:r>
            <w:r w:rsidR="00BE526A" w:rsidRPr="00903BCB">
              <w:rPr>
                <w:sz w:val="24"/>
                <w:szCs w:val="24"/>
                <w:lang w:bidi="ar-JO"/>
              </w:rPr>
              <w:t>.</w:t>
            </w:r>
          </w:p>
        </w:tc>
        <w:tc>
          <w:tcPr>
            <w:tcW w:w="630" w:type="dxa"/>
            <w:shd w:val="clear" w:color="auto" w:fill="auto"/>
            <w:vAlign w:val="center"/>
          </w:tcPr>
          <w:p w14:paraId="38B5893E" w14:textId="77777777" w:rsidR="007E31BC" w:rsidRPr="00903BCB" w:rsidRDefault="007E31BC" w:rsidP="00902DD6">
            <w:pPr>
              <w:bidi/>
              <w:ind w:left="0" w:right="0"/>
              <w:jc w:val="center"/>
              <w:rPr>
                <w:sz w:val="24"/>
                <w:szCs w:val="24"/>
                <w:lang w:bidi="ar-JO"/>
              </w:rPr>
            </w:pPr>
            <w:r w:rsidRPr="00903BCB">
              <w:rPr>
                <w:sz w:val="24"/>
                <w:szCs w:val="24"/>
                <w:lang w:bidi="ar-JO"/>
              </w:rPr>
              <w:t>Area</w:t>
            </w:r>
          </w:p>
        </w:tc>
        <w:tc>
          <w:tcPr>
            <w:tcW w:w="900" w:type="dxa"/>
            <w:shd w:val="clear" w:color="auto" w:fill="auto"/>
            <w:vAlign w:val="center"/>
          </w:tcPr>
          <w:p w14:paraId="275ECED7" w14:textId="77777777" w:rsidR="007E31BC" w:rsidRPr="00903BCB" w:rsidRDefault="007E31BC" w:rsidP="00902DD6">
            <w:pPr>
              <w:bidi/>
              <w:ind w:left="0" w:right="0"/>
              <w:jc w:val="center"/>
              <w:rPr>
                <w:sz w:val="24"/>
                <w:szCs w:val="24"/>
                <w:lang w:bidi="ar-JO"/>
              </w:rPr>
            </w:pPr>
            <w:r w:rsidRPr="00903BCB">
              <w:rPr>
                <w:sz w:val="24"/>
                <w:szCs w:val="24"/>
                <w:lang w:bidi="ar-JO"/>
              </w:rPr>
              <w:t>Density</w:t>
            </w:r>
          </w:p>
        </w:tc>
        <w:tc>
          <w:tcPr>
            <w:tcW w:w="900" w:type="dxa"/>
            <w:shd w:val="clear" w:color="auto" w:fill="auto"/>
            <w:vAlign w:val="center"/>
          </w:tcPr>
          <w:p w14:paraId="7B31D43C" w14:textId="77777777" w:rsidR="007E31BC" w:rsidRPr="00903BCB" w:rsidRDefault="007E31BC" w:rsidP="00902DD6">
            <w:pPr>
              <w:bidi/>
              <w:ind w:left="0" w:right="0"/>
              <w:jc w:val="center"/>
              <w:rPr>
                <w:sz w:val="24"/>
                <w:szCs w:val="24"/>
                <w:lang w:bidi="ar-JO"/>
              </w:rPr>
            </w:pPr>
            <w:r w:rsidRPr="00903BCB">
              <w:rPr>
                <w:sz w:val="24"/>
                <w:szCs w:val="24"/>
                <w:lang w:bidi="ar-JO"/>
              </w:rPr>
              <w:t>Poverty Rate</w:t>
            </w:r>
          </w:p>
        </w:tc>
        <w:tc>
          <w:tcPr>
            <w:tcW w:w="1530" w:type="dxa"/>
            <w:shd w:val="clear" w:color="auto" w:fill="auto"/>
            <w:vAlign w:val="center"/>
          </w:tcPr>
          <w:p w14:paraId="41A80299" w14:textId="77777777" w:rsidR="007E31BC" w:rsidRPr="00903BCB" w:rsidRDefault="007E31BC" w:rsidP="00902DD6">
            <w:pPr>
              <w:bidi/>
              <w:ind w:left="0" w:right="0"/>
              <w:jc w:val="center"/>
              <w:rPr>
                <w:sz w:val="24"/>
                <w:szCs w:val="24"/>
                <w:lang w:bidi="ar-JO"/>
              </w:rPr>
            </w:pPr>
            <w:r w:rsidRPr="00903BCB">
              <w:rPr>
                <w:sz w:val="24"/>
                <w:szCs w:val="24"/>
                <w:lang w:bidi="ar-JO"/>
              </w:rPr>
              <w:t>Unemployment Rate</w:t>
            </w:r>
          </w:p>
        </w:tc>
        <w:tc>
          <w:tcPr>
            <w:tcW w:w="1620" w:type="dxa"/>
          </w:tcPr>
          <w:p w14:paraId="65788AB6" w14:textId="48F32AAA" w:rsidR="007E31BC" w:rsidRPr="00903BCB" w:rsidRDefault="00D12FCC" w:rsidP="00A65A73">
            <w:pPr>
              <w:bidi/>
              <w:ind w:left="0" w:right="0"/>
              <w:jc w:val="center"/>
              <w:rPr>
                <w:sz w:val="24"/>
                <w:szCs w:val="24"/>
                <w:lang w:bidi="ar-JO"/>
              </w:rPr>
            </w:pPr>
            <w:r w:rsidRPr="00903BCB">
              <w:rPr>
                <w:sz w:val="24"/>
                <w:szCs w:val="24"/>
                <w:lang w:bidi="ar-JO"/>
              </w:rPr>
              <w:t>Basic</w:t>
            </w:r>
            <w:r w:rsidR="007E31BC" w:rsidRPr="00903BCB">
              <w:rPr>
                <w:sz w:val="24"/>
                <w:szCs w:val="24"/>
                <w:lang w:bidi="ar-JO"/>
              </w:rPr>
              <w:t xml:space="preserve"> </w:t>
            </w:r>
            <w:r w:rsidR="005C629A" w:rsidRPr="00903BCB">
              <w:rPr>
                <w:sz w:val="24"/>
                <w:szCs w:val="24"/>
                <w:lang w:bidi="ar-JO"/>
              </w:rPr>
              <w:t>P</w:t>
            </w:r>
            <w:r w:rsidR="007E31BC" w:rsidRPr="00903BCB">
              <w:rPr>
                <w:sz w:val="24"/>
                <w:szCs w:val="24"/>
                <w:lang w:bidi="ar-JO"/>
              </w:rPr>
              <w:t xml:space="preserve">ublic </w:t>
            </w:r>
            <w:r w:rsidR="005C629A" w:rsidRPr="00903BCB">
              <w:rPr>
                <w:sz w:val="24"/>
                <w:szCs w:val="24"/>
                <w:lang w:bidi="ar-JO"/>
              </w:rPr>
              <w:t>S</w:t>
            </w:r>
            <w:r w:rsidR="007E31BC" w:rsidRPr="00903BCB">
              <w:rPr>
                <w:sz w:val="24"/>
                <w:szCs w:val="24"/>
                <w:lang w:bidi="ar-JO"/>
              </w:rPr>
              <w:t xml:space="preserve">ervice </w:t>
            </w:r>
            <w:r w:rsidR="005C629A" w:rsidRPr="00903BCB">
              <w:rPr>
                <w:sz w:val="24"/>
                <w:szCs w:val="24"/>
                <w:lang w:bidi="ar-JO"/>
              </w:rPr>
              <w:t>S</w:t>
            </w:r>
            <w:r w:rsidR="007E31BC" w:rsidRPr="00903BCB">
              <w:rPr>
                <w:sz w:val="24"/>
                <w:szCs w:val="24"/>
                <w:lang w:bidi="ar-JO"/>
              </w:rPr>
              <w:t>tandard</w:t>
            </w:r>
          </w:p>
        </w:tc>
        <w:tc>
          <w:tcPr>
            <w:tcW w:w="1080" w:type="dxa"/>
          </w:tcPr>
          <w:p w14:paraId="5C6E4DDE" w14:textId="356B2F65" w:rsidR="007E31BC" w:rsidRPr="00903BCB" w:rsidRDefault="005658C4" w:rsidP="007E31BC">
            <w:pPr>
              <w:bidi/>
              <w:ind w:left="0" w:right="0"/>
              <w:jc w:val="center"/>
              <w:rPr>
                <w:sz w:val="24"/>
                <w:szCs w:val="24"/>
                <w:lang w:bidi="ar-JO"/>
              </w:rPr>
            </w:pPr>
            <w:r w:rsidRPr="00903BCB">
              <w:rPr>
                <w:sz w:val="24"/>
                <w:szCs w:val="24"/>
                <w:lang w:bidi="ar-JO"/>
              </w:rPr>
              <w:t xml:space="preserve">Income </w:t>
            </w:r>
            <w:r w:rsidR="005C629A" w:rsidRPr="00903BCB">
              <w:rPr>
                <w:sz w:val="24"/>
                <w:szCs w:val="24"/>
                <w:lang w:bidi="ar-JO"/>
              </w:rPr>
              <w:t>P</w:t>
            </w:r>
            <w:r w:rsidR="007E31BC" w:rsidRPr="00903BCB">
              <w:rPr>
                <w:sz w:val="24"/>
                <w:szCs w:val="24"/>
                <w:lang w:bidi="ar-JO"/>
              </w:rPr>
              <w:t>er-</w:t>
            </w:r>
            <w:r w:rsidR="005C629A" w:rsidRPr="00903BCB">
              <w:rPr>
                <w:sz w:val="24"/>
                <w:szCs w:val="24"/>
                <w:lang w:bidi="ar-JO"/>
              </w:rPr>
              <w:t>C</w:t>
            </w:r>
            <w:r w:rsidR="007E31BC" w:rsidRPr="00903BCB">
              <w:rPr>
                <w:sz w:val="24"/>
                <w:szCs w:val="24"/>
                <w:lang w:bidi="ar-JO"/>
              </w:rPr>
              <w:t>apita</w:t>
            </w:r>
          </w:p>
        </w:tc>
        <w:tc>
          <w:tcPr>
            <w:tcW w:w="1350" w:type="dxa"/>
          </w:tcPr>
          <w:p w14:paraId="0EAE311E" w14:textId="372EE5AF" w:rsidR="00BE526A" w:rsidRPr="00903BCB" w:rsidRDefault="00BE526A" w:rsidP="00BE526A">
            <w:pPr>
              <w:ind w:right="-386"/>
              <w:jc w:val="center"/>
              <w:rPr>
                <w:sz w:val="24"/>
                <w:szCs w:val="24"/>
              </w:rPr>
            </w:pPr>
            <w:r w:rsidRPr="00903BCB">
              <w:rPr>
                <w:sz w:val="24"/>
                <w:szCs w:val="24"/>
              </w:rPr>
              <w:t>Infrastructure</w:t>
            </w:r>
          </w:p>
          <w:p w14:paraId="4B9EFBDA" w14:textId="77777777" w:rsidR="007E31BC" w:rsidRPr="00903BCB" w:rsidRDefault="007E31BC" w:rsidP="00BE526A">
            <w:pPr>
              <w:bidi/>
              <w:ind w:left="0" w:right="0"/>
              <w:rPr>
                <w:sz w:val="24"/>
                <w:szCs w:val="24"/>
                <w:lang w:bidi="ar-JO"/>
              </w:rPr>
            </w:pPr>
          </w:p>
        </w:tc>
      </w:tr>
      <w:tr w:rsidR="00B61A24" w:rsidRPr="00903BCB" w14:paraId="1AF22433" w14:textId="77777777" w:rsidTr="00FB4145">
        <w:tc>
          <w:tcPr>
            <w:tcW w:w="1098" w:type="dxa"/>
          </w:tcPr>
          <w:p w14:paraId="1E91FEFA" w14:textId="5663863A" w:rsidR="00B61A24" w:rsidRPr="00903BCB" w:rsidRDefault="00B61A24" w:rsidP="00902DD6">
            <w:pPr>
              <w:bidi/>
              <w:ind w:left="0" w:right="0"/>
              <w:jc w:val="left"/>
              <w:rPr>
                <w:sz w:val="24"/>
                <w:szCs w:val="24"/>
                <w:lang w:bidi="ar-JO"/>
              </w:rPr>
            </w:pPr>
            <w:r w:rsidRPr="00903BCB">
              <w:rPr>
                <w:sz w:val="24"/>
                <w:szCs w:val="24"/>
                <w:rtl/>
                <w:lang w:bidi="ar-JO"/>
              </w:rPr>
              <w:t>Tanzania</w:t>
            </w:r>
          </w:p>
        </w:tc>
        <w:tc>
          <w:tcPr>
            <w:tcW w:w="630" w:type="dxa"/>
          </w:tcPr>
          <w:p w14:paraId="61EF85CC" w14:textId="77777777" w:rsidR="00B61A24" w:rsidRPr="00903BCB" w:rsidRDefault="00B61A24" w:rsidP="00EC67E2">
            <w:pPr>
              <w:numPr>
                <w:ilvl w:val="0"/>
                <w:numId w:val="8"/>
              </w:numPr>
              <w:tabs>
                <w:tab w:val="right" w:pos="162"/>
              </w:tabs>
              <w:bidi/>
              <w:ind w:right="0"/>
              <w:jc w:val="center"/>
              <w:rPr>
                <w:sz w:val="24"/>
                <w:szCs w:val="24"/>
              </w:rPr>
            </w:pPr>
          </w:p>
        </w:tc>
        <w:tc>
          <w:tcPr>
            <w:tcW w:w="630" w:type="dxa"/>
          </w:tcPr>
          <w:p w14:paraId="3CECE02A" w14:textId="77777777" w:rsidR="00B61A24" w:rsidRPr="00903BCB" w:rsidRDefault="00B61A24" w:rsidP="005D3A59">
            <w:pPr>
              <w:bidi/>
              <w:ind w:left="0" w:right="0"/>
              <w:jc w:val="center"/>
              <w:rPr>
                <w:sz w:val="24"/>
                <w:szCs w:val="24"/>
              </w:rPr>
            </w:pPr>
          </w:p>
        </w:tc>
        <w:tc>
          <w:tcPr>
            <w:tcW w:w="900" w:type="dxa"/>
          </w:tcPr>
          <w:p w14:paraId="66608B2A" w14:textId="77777777" w:rsidR="00B61A24" w:rsidRPr="00903BCB" w:rsidRDefault="00B61A24" w:rsidP="005D3A59">
            <w:pPr>
              <w:bidi/>
              <w:ind w:left="0" w:right="0"/>
              <w:jc w:val="center"/>
              <w:rPr>
                <w:sz w:val="24"/>
                <w:szCs w:val="24"/>
              </w:rPr>
            </w:pPr>
          </w:p>
        </w:tc>
        <w:tc>
          <w:tcPr>
            <w:tcW w:w="900" w:type="dxa"/>
          </w:tcPr>
          <w:p w14:paraId="20C7B748" w14:textId="77777777" w:rsidR="00B61A24" w:rsidRPr="00903BCB" w:rsidRDefault="00B61A24" w:rsidP="005D3A59">
            <w:pPr>
              <w:numPr>
                <w:ilvl w:val="0"/>
                <w:numId w:val="8"/>
              </w:numPr>
              <w:bidi/>
              <w:ind w:right="0"/>
              <w:jc w:val="center"/>
              <w:rPr>
                <w:sz w:val="24"/>
                <w:szCs w:val="24"/>
              </w:rPr>
            </w:pPr>
          </w:p>
        </w:tc>
        <w:tc>
          <w:tcPr>
            <w:tcW w:w="1530" w:type="dxa"/>
          </w:tcPr>
          <w:p w14:paraId="28CF03A6" w14:textId="77777777" w:rsidR="00B61A24" w:rsidRPr="00903BCB" w:rsidRDefault="00B61A24" w:rsidP="005D3A59">
            <w:pPr>
              <w:numPr>
                <w:ilvl w:val="0"/>
                <w:numId w:val="8"/>
              </w:numPr>
              <w:bidi/>
              <w:ind w:right="0"/>
              <w:jc w:val="center"/>
              <w:rPr>
                <w:sz w:val="24"/>
                <w:szCs w:val="24"/>
              </w:rPr>
            </w:pPr>
          </w:p>
        </w:tc>
        <w:tc>
          <w:tcPr>
            <w:tcW w:w="1620" w:type="dxa"/>
          </w:tcPr>
          <w:p w14:paraId="28CBBD84" w14:textId="44B7D3C6" w:rsidR="00B61A24" w:rsidRPr="00903BCB" w:rsidRDefault="00B61A24" w:rsidP="00B61A24">
            <w:pPr>
              <w:bidi/>
              <w:ind w:left="0" w:right="0"/>
              <w:jc w:val="center"/>
              <w:rPr>
                <w:sz w:val="24"/>
                <w:szCs w:val="24"/>
              </w:rPr>
            </w:pPr>
          </w:p>
        </w:tc>
        <w:tc>
          <w:tcPr>
            <w:tcW w:w="1080" w:type="dxa"/>
          </w:tcPr>
          <w:p w14:paraId="2B322C00" w14:textId="17FCC8F3" w:rsidR="00B61A24" w:rsidRPr="00903BCB" w:rsidRDefault="00B61A24" w:rsidP="00B61A24">
            <w:pPr>
              <w:bidi/>
              <w:ind w:left="360" w:right="0"/>
              <w:rPr>
                <w:sz w:val="24"/>
                <w:szCs w:val="24"/>
              </w:rPr>
            </w:pPr>
            <w:r w:rsidRPr="00903BCB">
              <w:rPr>
                <w:rFonts w:ascii="Menlo Regular" w:hAnsi="Menlo Regular" w:cs="Menlo Regular"/>
                <w:sz w:val="24"/>
                <w:szCs w:val="24"/>
              </w:rPr>
              <w:t>✓</w:t>
            </w:r>
          </w:p>
        </w:tc>
        <w:tc>
          <w:tcPr>
            <w:tcW w:w="1350" w:type="dxa"/>
          </w:tcPr>
          <w:p w14:paraId="3ECEB492" w14:textId="0649A316" w:rsidR="00B61A24" w:rsidRPr="00903BCB" w:rsidRDefault="00B61A24" w:rsidP="00B61A24">
            <w:pPr>
              <w:bidi/>
              <w:ind w:left="0" w:right="0"/>
              <w:rPr>
                <w:sz w:val="24"/>
                <w:szCs w:val="24"/>
              </w:rPr>
            </w:pPr>
            <w:r w:rsidRPr="00903BCB">
              <w:rPr>
                <w:rFonts w:ascii="Menlo Regular" w:hAnsi="Menlo Regular" w:cs="Menlo Regular"/>
                <w:sz w:val="24"/>
                <w:szCs w:val="24"/>
              </w:rPr>
              <w:t>✓</w:t>
            </w:r>
            <w:r w:rsidRPr="00903BCB">
              <w:rPr>
                <w:sz w:val="24"/>
                <w:szCs w:val="24"/>
              </w:rPr>
              <w:t></w:t>
            </w:r>
            <w:r w:rsidRPr="00903BCB">
              <w:rPr>
                <w:sz w:val="24"/>
                <w:szCs w:val="24"/>
              </w:rPr>
              <w:t></w:t>
            </w:r>
            <w:r w:rsidRPr="00903BCB">
              <w:rPr>
                <w:sz w:val="24"/>
                <w:szCs w:val="24"/>
              </w:rPr>
              <w:t></w:t>
            </w:r>
            <w:r w:rsidRPr="00903BCB">
              <w:rPr>
                <w:sz w:val="24"/>
                <w:szCs w:val="24"/>
              </w:rPr>
              <w:t></w:t>
            </w:r>
            <w:r w:rsidRPr="00903BCB">
              <w:rPr>
                <w:sz w:val="24"/>
                <w:szCs w:val="24"/>
              </w:rPr>
              <w:t></w:t>
            </w:r>
            <w:r w:rsidRPr="00903BCB">
              <w:rPr>
                <w:sz w:val="24"/>
                <w:szCs w:val="24"/>
              </w:rPr>
              <w:t></w:t>
            </w:r>
            <w:r w:rsidRPr="00903BCB">
              <w:rPr>
                <w:sz w:val="24"/>
                <w:szCs w:val="24"/>
              </w:rPr>
              <w:t></w:t>
            </w:r>
            <w:r w:rsidR="0073653A" w:rsidRPr="00903BCB">
              <w:rPr>
                <w:sz w:val="24"/>
                <w:szCs w:val="24"/>
              </w:rPr>
              <w:t></w:t>
            </w:r>
            <w:r w:rsidR="0073653A" w:rsidRPr="00903BCB">
              <w:rPr>
                <w:sz w:val="24"/>
                <w:szCs w:val="24"/>
              </w:rPr>
              <w:t></w:t>
            </w:r>
          </w:p>
        </w:tc>
      </w:tr>
      <w:tr w:rsidR="00B61A24" w:rsidRPr="00903BCB" w14:paraId="6CB22002" w14:textId="77777777" w:rsidTr="00FB4145">
        <w:tc>
          <w:tcPr>
            <w:tcW w:w="1098" w:type="dxa"/>
          </w:tcPr>
          <w:p w14:paraId="29F9A09D" w14:textId="0882DE8C" w:rsidR="00B61A24" w:rsidRPr="00903BCB" w:rsidRDefault="00B61A24" w:rsidP="00902DD6">
            <w:pPr>
              <w:bidi/>
              <w:ind w:left="0" w:right="0"/>
              <w:jc w:val="left"/>
              <w:rPr>
                <w:sz w:val="24"/>
                <w:szCs w:val="24"/>
                <w:rtl/>
                <w:lang w:bidi="ar-JO"/>
              </w:rPr>
            </w:pPr>
            <w:r w:rsidRPr="00903BCB">
              <w:rPr>
                <w:sz w:val="24"/>
                <w:szCs w:val="24"/>
                <w:rtl/>
                <w:lang w:bidi="ar-JO"/>
              </w:rPr>
              <w:t>Gana</w:t>
            </w:r>
          </w:p>
        </w:tc>
        <w:tc>
          <w:tcPr>
            <w:tcW w:w="630" w:type="dxa"/>
          </w:tcPr>
          <w:p w14:paraId="689361A0" w14:textId="77777777" w:rsidR="00B61A24" w:rsidRPr="00903BCB" w:rsidRDefault="00B61A24" w:rsidP="00EC67E2">
            <w:pPr>
              <w:numPr>
                <w:ilvl w:val="0"/>
                <w:numId w:val="8"/>
              </w:numPr>
              <w:tabs>
                <w:tab w:val="right" w:pos="162"/>
              </w:tabs>
              <w:bidi/>
              <w:ind w:right="0"/>
              <w:jc w:val="center"/>
              <w:rPr>
                <w:sz w:val="24"/>
                <w:szCs w:val="24"/>
              </w:rPr>
            </w:pPr>
          </w:p>
        </w:tc>
        <w:tc>
          <w:tcPr>
            <w:tcW w:w="630" w:type="dxa"/>
          </w:tcPr>
          <w:p w14:paraId="791538F9" w14:textId="77777777" w:rsidR="00B61A24" w:rsidRPr="00903BCB" w:rsidRDefault="00B61A24" w:rsidP="005D3A59">
            <w:pPr>
              <w:bidi/>
              <w:ind w:left="0" w:right="0"/>
              <w:jc w:val="center"/>
              <w:rPr>
                <w:sz w:val="24"/>
                <w:szCs w:val="24"/>
              </w:rPr>
            </w:pPr>
          </w:p>
        </w:tc>
        <w:tc>
          <w:tcPr>
            <w:tcW w:w="900" w:type="dxa"/>
          </w:tcPr>
          <w:p w14:paraId="3E37A058" w14:textId="5B4425A6" w:rsidR="00B61A24" w:rsidRPr="00903BCB" w:rsidRDefault="008D542A" w:rsidP="005D3A59">
            <w:pPr>
              <w:bidi/>
              <w:ind w:left="0" w:right="0"/>
              <w:jc w:val="center"/>
              <w:rPr>
                <w:sz w:val="24"/>
                <w:szCs w:val="24"/>
              </w:rPr>
            </w:pPr>
            <w:r w:rsidRPr="00903BCB">
              <w:rPr>
                <w:rFonts w:ascii="Menlo Regular" w:hAnsi="Menlo Regular" w:cs="Menlo Regular"/>
                <w:sz w:val="24"/>
                <w:szCs w:val="24"/>
              </w:rPr>
              <w:t>✓</w:t>
            </w:r>
          </w:p>
        </w:tc>
        <w:tc>
          <w:tcPr>
            <w:tcW w:w="900" w:type="dxa"/>
          </w:tcPr>
          <w:p w14:paraId="770F1B6B" w14:textId="77777777" w:rsidR="00B61A24" w:rsidRPr="00903BCB" w:rsidRDefault="00B61A24" w:rsidP="005D3A59">
            <w:pPr>
              <w:numPr>
                <w:ilvl w:val="0"/>
                <w:numId w:val="8"/>
              </w:numPr>
              <w:bidi/>
              <w:ind w:right="0"/>
              <w:jc w:val="center"/>
              <w:rPr>
                <w:sz w:val="24"/>
                <w:szCs w:val="24"/>
              </w:rPr>
            </w:pPr>
          </w:p>
        </w:tc>
        <w:tc>
          <w:tcPr>
            <w:tcW w:w="1530" w:type="dxa"/>
          </w:tcPr>
          <w:p w14:paraId="199BD4B4" w14:textId="77777777" w:rsidR="00B61A24" w:rsidRPr="00903BCB" w:rsidRDefault="00B61A24" w:rsidP="005D3A59">
            <w:pPr>
              <w:numPr>
                <w:ilvl w:val="0"/>
                <w:numId w:val="8"/>
              </w:numPr>
              <w:bidi/>
              <w:ind w:right="0"/>
              <w:jc w:val="center"/>
              <w:rPr>
                <w:sz w:val="24"/>
                <w:szCs w:val="24"/>
              </w:rPr>
            </w:pPr>
          </w:p>
        </w:tc>
        <w:tc>
          <w:tcPr>
            <w:tcW w:w="1620" w:type="dxa"/>
          </w:tcPr>
          <w:p w14:paraId="0A3BC88C" w14:textId="77777777" w:rsidR="00B61A24" w:rsidRPr="00903BCB" w:rsidRDefault="00B61A24" w:rsidP="00B61A24">
            <w:pPr>
              <w:bidi/>
              <w:ind w:left="0" w:right="0"/>
              <w:jc w:val="center"/>
              <w:rPr>
                <w:sz w:val="24"/>
                <w:szCs w:val="24"/>
              </w:rPr>
            </w:pPr>
          </w:p>
        </w:tc>
        <w:tc>
          <w:tcPr>
            <w:tcW w:w="1080" w:type="dxa"/>
          </w:tcPr>
          <w:p w14:paraId="32895D74" w14:textId="60653F86" w:rsidR="00B61A24" w:rsidRPr="00903BCB" w:rsidRDefault="008D542A" w:rsidP="00B61A24">
            <w:pPr>
              <w:bidi/>
              <w:ind w:left="360" w:right="0"/>
              <w:rPr>
                <w:sz w:val="24"/>
                <w:szCs w:val="24"/>
              </w:rPr>
            </w:pPr>
            <w:r w:rsidRPr="00903BCB">
              <w:rPr>
                <w:rFonts w:ascii="Menlo Regular" w:hAnsi="Menlo Regular" w:cs="Menlo Regular"/>
                <w:sz w:val="24"/>
                <w:szCs w:val="24"/>
              </w:rPr>
              <w:t>✓</w:t>
            </w:r>
          </w:p>
        </w:tc>
        <w:tc>
          <w:tcPr>
            <w:tcW w:w="1350" w:type="dxa"/>
          </w:tcPr>
          <w:p w14:paraId="5AD306A0" w14:textId="30BF717B" w:rsidR="00B61A24" w:rsidRPr="00903BCB" w:rsidRDefault="0073653A" w:rsidP="0073653A">
            <w:pPr>
              <w:bidi/>
              <w:ind w:left="0" w:right="0"/>
              <w:jc w:val="center"/>
              <w:rPr>
                <w:sz w:val="24"/>
                <w:szCs w:val="24"/>
              </w:rPr>
            </w:pPr>
            <w:r w:rsidRPr="00903BCB">
              <w:rPr>
                <w:rFonts w:ascii="Menlo Regular" w:hAnsi="Menlo Regular" w:cs="Menlo Regular"/>
                <w:sz w:val="24"/>
                <w:szCs w:val="24"/>
              </w:rPr>
              <w:t>✓</w:t>
            </w:r>
          </w:p>
        </w:tc>
      </w:tr>
      <w:tr w:rsidR="007E5F3A" w:rsidRPr="00903BCB" w14:paraId="32B1E8B5" w14:textId="77777777" w:rsidTr="00FB4145">
        <w:tc>
          <w:tcPr>
            <w:tcW w:w="1098" w:type="dxa"/>
          </w:tcPr>
          <w:p w14:paraId="3F23C8FD" w14:textId="6E393035" w:rsidR="007E5F3A" w:rsidRPr="00903BCB" w:rsidRDefault="007E5F3A" w:rsidP="00902DD6">
            <w:pPr>
              <w:bidi/>
              <w:ind w:left="0" w:right="0"/>
              <w:jc w:val="left"/>
              <w:rPr>
                <w:sz w:val="24"/>
                <w:szCs w:val="24"/>
                <w:lang w:bidi="ar-JO"/>
              </w:rPr>
            </w:pPr>
            <w:r w:rsidRPr="00903BCB">
              <w:rPr>
                <w:sz w:val="24"/>
                <w:szCs w:val="24"/>
                <w:rtl/>
                <w:lang w:bidi="ar-JO"/>
              </w:rPr>
              <w:t>Senegal</w:t>
            </w:r>
          </w:p>
        </w:tc>
        <w:tc>
          <w:tcPr>
            <w:tcW w:w="630" w:type="dxa"/>
          </w:tcPr>
          <w:p w14:paraId="5AE27AF5" w14:textId="77777777" w:rsidR="007E5F3A" w:rsidRPr="00903BCB" w:rsidRDefault="007E5F3A" w:rsidP="00EC67E2">
            <w:pPr>
              <w:numPr>
                <w:ilvl w:val="0"/>
                <w:numId w:val="8"/>
              </w:numPr>
              <w:tabs>
                <w:tab w:val="right" w:pos="162"/>
              </w:tabs>
              <w:bidi/>
              <w:ind w:right="0"/>
              <w:jc w:val="center"/>
              <w:rPr>
                <w:sz w:val="24"/>
                <w:szCs w:val="24"/>
              </w:rPr>
            </w:pPr>
          </w:p>
        </w:tc>
        <w:tc>
          <w:tcPr>
            <w:tcW w:w="630" w:type="dxa"/>
          </w:tcPr>
          <w:p w14:paraId="3D93FC2B" w14:textId="77777777" w:rsidR="007E5F3A" w:rsidRPr="00903BCB" w:rsidRDefault="007E5F3A" w:rsidP="005D3A59">
            <w:pPr>
              <w:bidi/>
              <w:ind w:left="0" w:right="0"/>
              <w:jc w:val="center"/>
              <w:rPr>
                <w:sz w:val="24"/>
                <w:szCs w:val="24"/>
              </w:rPr>
            </w:pPr>
          </w:p>
        </w:tc>
        <w:tc>
          <w:tcPr>
            <w:tcW w:w="900" w:type="dxa"/>
          </w:tcPr>
          <w:p w14:paraId="713DDE6D" w14:textId="5913D66F" w:rsidR="007E5F3A" w:rsidRPr="00903BCB" w:rsidRDefault="00FF0B2D" w:rsidP="005D3A59">
            <w:pPr>
              <w:bidi/>
              <w:ind w:left="0" w:right="0"/>
              <w:jc w:val="center"/>
              <w:rPr>
                <w:sz w:val="24"/>
                <w:szCs w:val="24"/>
              </w:rPr>
            </w:pPr>
            <w:r w:rsidRPr="00903BCB">
              <w:rPr>
                <w:rFonts w:ascii="Menlo Regular" w:hAnsi="Menlo Regular" w:cs="Menlo Regular"/>
                <w:sz w:val="24"/>
                <w:szCs w:val="24"/>
              </w:rPr>
              <w:t>✓</w:t>
            </w:r>
          </w:p>
        </w:tc>
        <w:tc>
          <w:tcPr>
            <w:tcW w:w="900" w:type="dxa"/>
          </w:tcPr>
          <w:p w14:paraId="6D8AEF82" w14:textId="77777777" w:rsidR="007E5F3A" w:rsidRPr="00903BCB" w:rsidRDefault="007E5F3A" w:rsidP="005D3A59">
            <w:pPr>
              <w:numPr>
                <w:ilvl w:val="0"/>
                <w:numId w:val="8"/>
              </w:numPr>
              <w:bidi/>
              <w:ind w:right="0"/>
              <w:jc w:val="center"/>
              <w:rPr>
                <w:sz w:val="24"/>
                <w:szCs w:val="24"/>
              </w:rPr>
            </w:pPr>
          </w:p>
        </w:tc>
        <w:tc>
          <w:tcPr>
            <w:tcW w:w="1530" w:type="dxa"/>
          </w:tcPr>
          <w:p w14:paraId="06134E6F" w14:textId="77777777" w:rsidR="007E5F3A" w:rsidRPr="00903BCB" w:rsidRDefault="007E5F3A" w:rsidP="00FF0B2D">
            <w:pPr>
              <w:bidi/>
              <w:ind w:left="540" w:right="0"/>
              <w:rPr>
                <w:sz w:val="24"/>
                <w:szCs w:val="24"/>
              </w:rPr>
            </w:pPr>
          </w:p>
        </w:tc>
        <w:tc>
          <w:tcPr>
            <w:tcW w:w="1620" w:type="dxa"/>
          </w:tcPr>
          <w:p w14:paraId="2DB4A3B6" w14:textId="77777777" w:rsidR="007E5F3A" w:rsidRPr="00903BCB" w:rsidRDefault="007E5F3A" w:rsidP="005D3A59">
            <w:pPr>
              <w:bidi/>
              <w:ind w:left="360" w:right="0"/>
              <w:jc w:val="center"/>
              <w:rPr>
                <w:sz w:val="24"/>
                <w:szCs w:val="24"/>
              </w:rPr>
            </w:pPr>
          </w:p>
        </w:tc>
        <w:tc>
          <w:tcPr>
            <w:tcW w:w="1080" w:type="dxa"/>
          </w:tcPr>
          <w:p w14:paraId="05F9371E" w14:textId="3ECAF8A9" w:rsidR="007E5F3A" w:rsidRPr="00903BCB" w:rsidRDefault="002527C1" w:rsidP="002527C1">
            <w:pPr>
              <w:bidi/>
              <w:ind w:left="360" w:right="0"/>
              <w:rPr>
                <w:sz w:val="24"/>
                <w:szCs w:val="24"/>
              </w:rPr>
            </w:pPr>
            <w:r w:rsidRPr="00903BCB">
              <w:rPr>
                <w:rFonts w:ascii="Menlo Regular" w:hAnsi="Menlo Regular" w:cs="Menlo Regular"/>
                <w:sz w:val="24"/>
                <w:szCs w:val="24"/>
              </w:rPr>
              <w:t>✓</w:t>
            </w:r>
          </w:p>
        </w:tc>
        <w:tc>
          <w:tcPr>
            <w:tcW w:w="1350" w:type="dxa"/>
          </w:tcPr>
          <w:p w14:paraId="44C41DA4" w14:textId="2BCAC8CB" w:rsidR="007E5F3A" w:rsidRPr="00903BCB" w:rsidRDefault="00FF0B2D" w:rsidP="00FF0B2D">
            <w:pPr>
              <w:bidi/>
              <w:ind w:left="360" w:right="0"/>
              <w:rPr>
                <w:sz w:val="24"/>
                <w:szCs w:val="24"/>
              </w:rPr>
            </w:pPr>
            <w:r w:rsidRPr="00903BCB">
              <w:rPr>
                <w:rFonts w:ascii="Menlo Regular" w:hAnsi="Menlo Regular" w:cs="Menlo Regular"/>
                <w:sz w:val="24"/>
                <w:szCs w:val="24"/>
              </w:rPr>
              <w:t>✓</w:t>
            </w:r>
            <w:r w:rsidRPr="00903BCB">
              <w:rPr>
                <w:sz w:val="24"/>
                <w:szCs w:val="24"/>
              </w:rPr>
              <w:t></w:t>
            </w:r>
            <w:r w:rsidRPr="00903BCB">
              <w:rPr>
                <w:sz w:val="24"/>
                <w:szCs w:val="24"/>
              </w:rPr>
              <w:t></w:t>
            </w:r>
          </w:p>
        </w:tc>
      </w:tr>
      <w:tr w:rsidR="00B61A24" w:rsidRPr="00903BCB" w14:paraId="0E862E51" w14:textId="77777777" w:rsidTr="00FB4145">
        <w:tc>
          <w:tcPr>
            <w:tcW w:w="1098" w:type="dxa"/>
          </w:tcPr>
          <w:p w14:paraId="41E77E63" w14:textId="77777777" w:rsidR="00B61A24" w:rsidRPr="00903BCB" w:rsidRDefault="00B61A24" w:rsidP="00902DD6">
            <w:pPr>
              <w:bidi/>
              <w:ind w:left="0" w:right="0"/>
              <w:jc w:val="left"/>
              <w:rPr>
                <w:sz w:val="24"/>
                <w:szCs w:val="24"/>
                <w:lang w:bidi="ar-JO"/>
              </w:rPr>
            </w:pPr>
            <w:r w:rsidRPr="00903BCB">
              <w:rPr>
                <w:sz w:val="24"/>
                <w:szCs w:val="24"/>
                <w:lang w:bidi="ar-JO"/>
              </w:rPr>
              <w:t>Canada</w:t>
            </w:r>
          </w:p>
        </w:tc>
        <w:tc>
          <w:tcPr>
            <w:tcW w:w="630" w:type="dxa"/>
          </w:tcPr>
          <w:p w14:paraId="68E87EF1" w14:textId="77777777" w:rsidR="00B61A24" w:rsidRPr="00903BCB" w:rsidRDefault="00B61A24" w:rsidP="00EC67E2">
            <w:pPr>
              <w:numPr>
                <w:ilvl w:val="0"/>
                <w:numId w:val="8"/>
              </w:numPr>
              <w:tabs>
                <w:tab w:val="right" w:pos="162"/>
              </w:tabs>
              <w:bidi/>
              <w:ind w:right="0"/>
              <w:jc w:val="center"/>
              <w:rPr>
                <w:sz w:val="24"/>
                <w:szCs w:val="24"/>
              </w:rPr>
            </w:pPr>
          </w:p>
        </w:tc>
        <w:tc>
          <w:tcPr>
            <w:tcW w:w="630" w:type="dxa"/>
          </w:tcPr>
          <w:p w14:paraId="3A5AE1BB" w14:textId="77777777" w:rsidR="00B61A24" w:rsidRPr="00903BCB" w:rsidRDefault="00B61A24" w:rsidP="005D3A59">
            <w:pPr>
              <w:bidi/>
              <w:ind w:left="0" w:right="0"/>
              <w:jc w:val="center"/>
              <w:rPr>
                <w:sz w:val="24"/>
                <w:szCs w:val="24"/>
              </w:rPr>
            </w:pPr>
          </w:p>
        </w:tc>
        <w:tc>
          <w:tcPr>
            <w:tcW w:w="900" w:type="dxa"/>
          </w:tcPr>
          <w:p w14:paraId="4B929847" w14:textId="77777777" w:rsidR="00B61A24" w:rsidRPr="00903BCB" w:rsidRDefault="00B61A24" w:rsidP="005D3A59">
            <w:pPr>
              <w:bidi/>
              <w:ind w:left="0" w:right="0"/>
              <w:jc w:val="center"/>
              <w:rPr>
                <w:sz w:val="24"/>
                <w:szCs w:val="24"/>
              </w:rPr>
            </w:pPr>
          </w:p>
        </w:tc>
        <w:tc>
          <w:tcPr>
            <w:tcW w:w="900" w:type="dxa"/>
          </w:tcPr>
          <w:p w14:paraId="51E8B15C" w14:textId="77777777" w:rsidR="00B61A24" w:rsidRPr="00903BCB" w:rsidRDefault="00B61A24" w:rsidP="005D3A59">
            <w:pPr>
              <w:numPr>
                <w:ilvl w:val="0"/>
                <w:numId w:val="8"/>
              </w:numPr>
              <w:bidi/>
              <w:ind w:right="0"/>
              <w:jc w:val="center"/>
              <w:rPr>
                <w:sz w:val="24"/>
                <w:szCs w:val="24"/>
              </w:rPr>
            </w:pPr>
          </w:p>
        </w:tc>
        <w:tc>
          <w:tcPr>
            <w:tcW w:w="1530" w:type="dxa"/>
          </w:tcPr>
          <w:p w14:paraId="66E900E5" w14:textId="77777777" w:rsidR="00B61A24" w:rsidRPr="00903BCB" w:rsidRDefault="00B61A24" w:rsidP="005D3A59">
            <w:pPr>
              <w:numPr>
                <w:ilvl w:val="0"/>
                <w:numId w:val="8"/>
              </w:numPr>
              <w:bidi/>
              <w:ind w:right="0"/>
              <w:jc w:val="center"/>
              <w:rPr>
                <w:sz w:val="24"/>
                <w:szCs w:val="24"/>
              </w:rPr>
            </w:pPr>
          </w:p>
        </w:tc>
        <w:tc>
          <w:tcPr>
            <w:tcW w:w="1620" w:type="dxa"/>
          </w:tcPr>
          <w:p w14:paraId="13D42F4E" w14:textId="77777777" w:rsidR="00B61A24" w:rsidRPr="00903BCB" w:rsidRDefault="00B61A24" w:rsidP="005D3A59">
            <w:pPr>
              <w:bidi/>
              <w:ind w:left="360" w:right="0"/>
              <w:jc w:val="center"/>
              <w:rPr>
                <w:sz w:val="24"/>
                <w:szCs w:val="24"/>
              </w:rPr>
            </w:pPr>
          </w:p>
        </w:tc>
        <w:tc>
          <w:tcPr>
            <w:tcW w:w="1080" w:type="dxa"/>
          </w:tcPr>
          <w:p w14:paraId="4E277C35" w14:textId="77777777" w:rsidR="00B61A24" w:rsidRPr="00903BCB" w:rsidRDefault="00B61A24" w:rsidP="005D3A59">
            <w:pPr>
              <w:bidi/>
              <w:ind w:left="360" w:right="0"/>
              <w:jc w:val="center"/>
              <w:rPr>
                <w:sz w:val="24"/>
                <w:szCs w:val="24"/>
              </w:rPr>
            </w:pPr>
          </w:p>
        </w:tc>
        <w:tc>
          <w:tcPr>
            <w:tcW w:w="1350" w:type="dxa"/>
          </w:tcPr>
          <w:p w14:paraId="5BD4D1EC" w14:textId="77777777" w:rsidR="00B61A24" w:rsidRPr="00903BCB" w:rsidRDefault="00B61A24" w:rsidP="005D3A59">
            <w:pPr>
              <w:bidi/>
              <w:ind w:left="360" w:right="0"/>
              <w:jc w:val="center"/>
              <w:rPr>
                <w:sz w:val="24"/>
                <w:szCs w:val="24"/>
              </w:rPr>
            </w:pPr>
          </w:p>
        </w:tc>
      </w:tr>
      <w:tr w:rsidR="00B61A24" w:rsidRPr="00903BCB" w14:paraId="5E2635F9" w14:textId="77777777" w:rsidTr="00FB4145">
        <w:tc>
          <w:tcPr>
            <w:tcW w:w="1098" w:type="dxa"/>
          </w:tcPr>
          <w:p w14:paraId="4CAB9C43" w14:textId="77777777" w:rsidR="00B61A24" w:rsidRPr="00903BCB" w:rsidRDefault="00B61A24" w:rsidP="000D0C31">
            <w:pPr>
              <w:bidi/>
              <w:ind w:left="0" w:right="0"/>
              <w:jc w:val="left"/>
              <w:rPr>
                <w:sz w:val="24"/>
                <w:szCs w:val="24"/>
                <w:lang w:bidi="ar-JO"/>
              </w:rPr>
            </w:pPr>
            <w:r w:rsidRPr="00903BCB">
              <w:rPr>
                <w:sz w:val="24"/>
                <w:szCs w:val="24"/>
                <w:lang w:bidi="ar-JO"/>
              </w:rPr>
              <w:t>India</w:t>
            </w:r>
          </w:p>
        </w:tc>
        <w:tc>
          <w:tcPr>
            <w:tcW w:w="630" w:type="dxa"/>
          </w:tcPr>
          <w:p w14:paraId="6E969113" w14:textId="77777777" w:rsidR="00B61A24" w:rsidRPr="00903BCB" w:rsidRDefault="00B61A24" w:rsidP="005D3A59">
            <w:pPr>
              <w:numPr>
                <w:ilvl w:val="0"/>
                <w:numId w:val="8"/>
              </w:numPr>
              <w:bidi/>
              <w:ind w:right="0"/>
              <w:jc w:val="center"/>
              <w:rPr>
                <w:sz w:val="24"/>
                <w:szCs w:val="24"/>
              </w:rPr>
            </w:pPr>
          </w:p>
        </w:tc>
        <w:tc>
          <w:tcPr>
            <w:tcW w:w="630" w:type="dxa"/>
          </w:tcPr>
          <w:p w14:paraId="214884D5" w14:textId="77777777" w:rsidR="00B61A24" w:rsidRPr="00903BCB" w:rsidRDefault="00B61A24" w:rsidP="005D3A59">
            <w:pPr>
              <w:numPr>
                <w:ilvl w:val="0"/>
                <w:numId w:val="7"/>
              </w:numPr>
              <w:bidi/>
              <w:ind w:right="0"/>
              <w:jc w:val="center"/>
              <w:rPr>
                <w:sz w:val="24"/>
                <w:szCs w:val="24"/>
              </w:rPr>
            </w:pPr>
          </w:p>
        </w:tc>
        <w:tc>
          <w:tcPr>
            <w:tcW w:w="900" w:type="dxa"/>
          </w:tcPr>
          <w:p w14:paraId="761CADD3" w14:textId="77777777" w:rsidR="00B61A24" w:rsidRPr="00903BCB" w:rsidRDefault="00B61A24" w:rsidP="005D3A59">
            <w:pPr>
              <w:bidi/>
              <w:ind w:left="0" w:right="0"/>
              <w:jc w:val="center"/>
              <w:rPr>
                <w:sz w:val="24"/>
                <w:szCs w:val="24"/>
              </w:rPr>
            </w:pPr>
          </w:p>
        </w:tc>
        <w:tc>
          <w:tcPr>
            <w:tcW w:w="900" w:type="dxa"/>
          </w:tcPr>
          <w:p w14:paraId="45457EAC" w14:textId="77777777" w:rsidR="00B61A24" w:rsidRPr="00903BCB" w:rsidRDefault="00B61A24" w:rsidP="005D3A59">
            <w:pPr>
              <w:numPr>
                <w:ilvl w:val="0"/>
                <w:numId w:val="7"/>
              </w:numPr>
              <w:bidi/>
              <w:ind w:right="0"/>
              <w:jc w:val="center"/>
              <w:rPr>
                <w:sz w:val="24"/>
                <w:szCs w:val="24"/>
                <w:lang w:bidi="ar-JO"/>
              </w:rPr>
            </w:pPr>
          </w:p>
        </w:tc>
        <w:tc>
          <w:tcPr>
            <w:tcW w:w="1530" w:type="dxa"/>
          </w:tcPr>
          <w:p w14:paraId="1619729D" w14:textId="77777777" w:rsidR="00B61A24" w:rsidRPr="00903BCB" w:rsidRDefault="00B61A24" w:rsidP="005D3A59">
            <w:pPr>
              <w:bidi/>
              <w:ind w:left="0" w:right="0"/>
              <w:jc w:val="center"/>
              <w:rPr>
                <w:sz w:val="24"/>
                <w:szCs w:val="24"/>
              </w:rPr>
            </w:pPr>
          </w:p>
        </w:tc>
        <w:tc>
          <w:tcPr>
            <w:tcW w:w="1620" w:type="dxa"/>
          </w:tcPr>
          <w:p w14:paraId="694EBA9D" w14:textId="77777777" w:rsidR="00B61A24" w:rsidRPr="00903BCB" w:rsidRDefault="00B61A24" w:rsidP="005D3A59">
            <w:pPr>
              <w:bidi/>
              <w:ind w:left="0" w:right="0"/>
              <w:jc w:val="center"/>
              <w:rPr>
                <w:sz w:val="24"/>
                <w:szCs w:val="24"/>
              </w:rPr>
            </w:pPr>
          </w:p>
        </w:tc>
        <w:tc>
          <w:tcPr>
            <w:tcW w:w="1080" w:type="dxa"/>
          </w:tcPr>
          <w:p w14:paraId="0C5A011D" w14:textId="77777777" w:rsidR="00B61A24" w:rsidRPr="00903BCB" w:rsidRDefault="00B61A24" w:rsidP="005D3A59">
            <w:pPr>
              <w:numPr>
                <w:ilvl w:val="0"/>
                <w:numId w:val="8"/>
              </w:numPr>
              <w:bidi/>
              <w:ind w:right="0"/>
              <w:jc w:val="center"/>
              <w:rPr>
                <w:sz w:val="24"/>
                <w:szCs w:val="24"/>
              </w:rPr>
            </w:pPr>
          </w:p>
        </w:tc>
        <w:tc>
          <w:tcPr>
            <w:tcW w:w="1350" w:type="dxa"/>
          </w:tcPr>
          <w:p w14:paraId="73E97479" w14:textId="77777777" w:rsidR="00B61A24" w:rsidRPr="00903BCB" w:rsidRDefault="00B61A24" w:rsidP="005D3A59">
            <w:pPr>
              <w:numPr>
                <w:ilvl w:val="0"/>
                <w:numId w:val="8"/>
              </w:numPr>
              <w:bidi/>
              <w:ind w:right="0"/>
              <w:jc w:val="center"/>
              <w:rPr>
                <w:sz w:val="24"/>
                <w:szCs w:val="24"/>
              </w:rPr>
            </w:pPr>
          </w:p>
        </w:tc>
      </w:tr>
      <w:tr w:rsidR="00B61A24" w:rsidRPr="00903BCB" w14:paraId="37FDA696" w14:textId="77777777" w:rsidTr="00FB4145">
        <w:tc>
          <w:tcPr>
            <w:tcW w:w="1098" w:type="dxa"/>
          </w:tcPr>
          <w:p w14:paraId="7AF18093" w14:textId="77777777" w:rsidR="00B61A24" w:rsidRPr="00903BCB" w:rsidRDefault="00B61A24" w:rsidP="00902DD6">
            <w:pPr>
              <w:bidi/>
              <w:ind w:left="0" w:right="0"/>
              <w:jc w:val="left"/>
              <w:rPr>
                <w:sz w:val="24"/>
                <w:szCs w:val="24"/>
                <w:lang w:bidi="ar-JO"/>
              </w:rPr>
            </w:pPr>
            <w:r w:rsidRPr="00903BCB">
              <w:rPr>
                <w:sz w:val="24"/>
                <w:szCs w:val="24"/>
                <w:lang w:bidi="ar-JO"/>
              </w:rPr>
              <w:t>UK</w:t>
            </w:r>
          </w:p>
        </w:tc>
        <w:tc>
          <w:tcPr>
            <w:tcW w:w="630" w:type="dxa"/>
          </w:tcPr>
          <w:p w14:paraId="1DDE6F8E" w14:textId="77777777" w:rsidR="00B61A24" w:rsidRPr="00903BCB" w:rsidRDefault="00B61A24" w:rsidP="005D3A59">
            <w:pPr>
              <w:numPr>
                <w:ilvl w:val="0"/>
                <w:numId w:val="8"/>
              </w:numPr>
              <w:bidi/>
              <w:ind w:right="0"/>
              <w:jc w:val="center"/>
              <w:rPr>
                <w:sz w:val="24"/>
                <w:szCs w:val="24"/>
              </w:rPr>
            </w:pPr>
          </w:p>
        </w:tc>
        <w:tc>
          <w:tcPr>
            <w:tcW w:w="630" w:type="dxa"/>
          </w:tcPr>
          <w:p w14:paraId="796A60A4" w14:textId="77777777" w:rsidR="00B61A24" w:rsidRPr="00903BCB" w:rsidRDefault="00B61A24" w:rsidP="005D3A59">
            <w:pPr>
              <w:bidi/>
              <w:ind w:left="0" w:right="0"/>
              <w:jc w:val="center"/>
              <w:rPr>
                <w:sz w:val="24"/>
                <w:szCs w:val="24"/>
              </w:rPr>
            </w:pPr>
          </w:p>
        </w:tc>
        <w:tc>
          <w:tcPr>
            <w:tcW w:w="900" w:type="dxa"/>
          </w:tcPr>
          <w:p w14:paraId="010A6D6A" w14:textId="77777777" w:rsidR="00B61A24" w:rsidRPr="00903BCB" w:rsidRDefault="00B61A24" w:rsidP="005D3A59">
            <w:pPr>
              <w:bidi/>
              <w:ind w:left="0" w:right="0"/>
              <w:jc w:val="center"/>
              <w:rPr>
                <w:sz w:val="24"/>
                <w:szCs w:val="24"/>
              </w:rPr>
            </w:pPr>
          </w:p>
        </w:tc>
        <w:tc>
          <w:tcPr>
            <w:tcW w:w="900" w:type="dxa"/>
          </w:tcPr>
          <w:p w14:paraId="08143C79" w14:textId="77777777" w:rsidR="00B61A24" w:rsidRPr="00903BCB" w:rsidRDefault="00B61A24" w:rsidP="005D3A59">
            <w:pPr>
              <w:bidi/>
              <w:ind w:left="0" w:right="0"/>
              <w:jc w:val="center"/>
              <w:rPr>
                <w:sz w:val="24"/>
                <w:szCs w:val="24"/>
              </w:rPr>
            </w:pPr>
          </w:p>
        </w:tc>
        <w:tc>
          <w:tcPr>
            <w:tcW w:w="1530" w:type="dxa"/>
          </w:tcPr>
          <w:p w14:paraId="0B60B3F2" w14:textId="77777777" w:rsidR="00B61A24" w:rsidRPr="00903BCB" w:rsidRDefault="00B61A24" w:rsidP="005D3A59">
            <w:pPr>
              <w:bidi/>
              <w:ind w:left="0" w:right="0"/>
              <w:jc w:val="center"/>
              <w:rPr>
                <w:sz w:val="24"/>
                <w:szCs w:val="24"/>
              </w:rPr>
            </w:pPr>
          </w:p>
        </w:tc>
        <w:tc>
          <w:tcPr>
            <w:tcW w:w="1620" w:type="dxa"/>
          </w:tcPr>
          <w:p w14:paraId="17E3FC8F" w14:textId="77777777" w:rsidR="00B61A24" w:rsidRPr="00903BCB" w:rsidRDefault="00B61A24" w:rsidP="005D3A59">
            <w:pPr>
              <w:numPr>
                <w:ilvl w:val="0"/>
                <w:numId w:val="8"/>
              </w:numPr>
              <w:bidi/>
              <w:ind w:right="0"/>
              <w:jc w:val="center"/>
              <w:rPr>
                <w:sz w:val="24"/>
                <w:szCs w:val="24"/>
              </w:rPr>
            </w:pPr>
          </w:p>
        </w:tc>
        <w:tc>
          <w:tcPr>
            <w:tcW w:w="1080" w:type="dxa"/>
          </w:tcPr>
          <w:p w14:paraId="205CA72C" w14:textId="77777777" w:rsidR="00B61A24" w:rsidRPr="00903BCB" w:rsidRDefault="00B61A24" w:rsidP="005D3A59">
            <w:pPr>
              <w:bidi/>
              <w:ind w:left="0" w:right="0"/>
              <w:jc w:val="center"/>
              <w:rPr>
                <w:sz w:val="24"/>
                <w:szCs w:val="24"/>
              </w:rPr>
            </w:pPr>
          </w:p>
        </w:tc>
        <w:tc>
          <w:tcPr>
            <w:tcW w:w="1350" w:type="dxa"/>
          </w:tcPr>
          <w:p w14:paraId="1D85FB12" w14:textId="77777777" w:rsidR="00B61A24" w:rsidRPr="00903BCB" w:rsidRDefault="00B61A24" w:rsidP="005D3A59">
            <w:pPr>
              <w:bidi/>
              <w:ind w:left="0" w:right="0"/>
              <w:jc w:val="center"/>
              <w:rPr>
                <w:sz w:val="24"/>
                <w:szCs w:val="24"/>
              </w:rPr>
            </w:pPr>
          </w:p>
        </w:tc>
      </w:tr>
      <w:tr w:rsidR="00B61A24" w:rsidRPr="00903BCB" w14:paraId="53357022" w14:textId="77777777" w:rsidTr="00FB4145">
        <w:tc>
          <w:tcPr>
            <w:tcW w:w="1098" w:type="dxa"/>
          </w:tcPr>
          <w:p w14:paraId="18EC9DCD" w14:textId="77777777" w:rsidR="00B61A24" w:rsidRPr="00903BCB" w:rsidRDefault="00B61A24" w:rsidP="00902DD6">
            <w:pPr>
              <w:bidi/>
              <w:ind w:left="0" w:right="0"/>
              <w:jc w:val="left"/>
              <w:rPr>
                <w:sz w:val="24"/>
                <w:szCs w:val="24"/>
                <w:lang w:bidi="ar-JO"/>
              </w:rPr>
            </w:pPr>
            <w:r w:rsidRPr="00903BCB">
              <w:rPr>
                <w:sz w:val="24"/>
                <w:szCs w:val="24"/>
                <w:lang w:bidi="ar-JO"/>
              </w:rPr>
              <w:t>Argentina</w:t>
            </w:r>
          </w:p>
        </w:tc>
        <w:tc>
          <w:tcPr>
            <w:tcW w:w="630" w:type="dxa"/>
          </w:tcPr>
          <w:p w14:paraId="486E806A" w14:textId="77777777" w:rsidR="00B61A24" w:rsidRPr="00903BCB" w:rsidRDefault="00B61A24" w:rsidP="005D3A59">
            <w:pPr>
              <w:numPr>
                <w:ilvl w:val="0"/>
                <w:numId w:val="8"/>
              </w:numPr>
              <w:bidi/>
              <w:ind w:right="0"/>
              <w:jc w:val="center"/>
              <w:rPr>
                <w:sz w:val="24"/>
                <w:szCs w:val="24"/>
              </w:rPr>
            </w:pPr>
          </w:p>
        </w:tc>
        <w:tc>
          <w:tcPr>
            <w:tcW w:w="630" w:type="dxa"/>
          </w:tcPr>
          <w:p w14:paraId="52412C29" w14:textId="77777777" w:rsidR="00B61A24" w:rsidRPr="00903BCB" w:rsidRDefault="00B61A24" w:rsidP="005D3A59">
            <w:pPr>
              <w:bidi/>
              <w:ind w:left="0" w:right="0"/>
              <w:jc w:val="center"/>
              <w:rPr>
                <w:sz w:val="24"/>
                <w:szCs w:val="24"/>
              </w:rPr>
            </w:pPr>
          </w:p>
        </w:tc>
        <w:tc>
          <w:tcPr>
            <w:tcW w:w="900" w:type="dxa"/>
          </w:tcPr>
          <w:p w14:paraId="29480FF1" w14:textId="77777777" w:rsidR="00B61A24" w:rsidRPr="00903BCB" w:rsidRDefault="00B61A24" w:rsidP="005D3A59">
            <w:pPr>
              <w:numPr>
                <w:ilvl w:val="0"/>
                <w:numId w:val="7"/>
              </w:numPr>
              <w:bidi/>
              <w:ind w:right="0"/>
              <w:jc w:val="center"/>
              <w:rPr>
                <w:sz w:val="24"/>
                <w:szCs w:val="24"/>
              </w:rPr>
            </w:pPr>
          </w:p>
        </w:tc>
        <w:tc>
          <w:tcPr>
            <w:tcW w:w="900" w:type="dxa"/>
          </w:tcPr>
          <w:p w14:paraId="4C984B5E" w14:textId="77777777" w:rsidR="00B61A24" w:rsidRPr="00903BCB" w:rsidRDefault="00B61A24" w:rsidP="005D3A59">
            <w:pPr>
              <w:bidi/>
              <w:ind w:left="0" w:right="0"/>
              <w:jc w:val="center"/>
              <w:rPr>
                <w:sz w:val="24"/>
                <w:szCs w:val="24"/>
              </w:rPr>
            </w:pPr>
          </w:p>
        </w:tc>
        <w:tc>
          <w:tcPr>
            <w:tcW w:w="1530" w:type="dxa"/>
          </w:tcPr>
          <w:p w14:paraId="0990458B" w14:textId="77777777" w:rsidR="00B61A24" w:rsidRPr="00903BCB" w:rsidRDefault="00B61A24" w:rsidP="005D3A59">
            <w:pPr>
              <w:bidi/>
              <w:ind w:left="0" w:right="0"/>
              <w:jc w:val="center"/>
              <w:rPr>
                <w:sz w:val="24"/>
                <w:szCs w:val="24"/>
              </w:rPr>
            </w:pPr>
          </w:p>
        </w:tc>
        <w:tc>
          <w:tcPr>
            <w:tcW w:w="1620" w:type="dxa"/>
          </w:tcPr>
          <w:p w14:paraId="7EC8AAA7" w14:textId="77777777" w:rsidR="00B61A24" w:rsidRPr="00903BCB" w:rsidRDefault="00B61A24" w:rsidP="005D3A59">
            <w:pPr>
              <w:numPr>
                <w:ilvl w:val="0"/>
                <w:numId w:val="8"/>
              </w:numPr>
              <w:bidi/>
              <w:ind w:right="0"/>
              <w:jc w:val="center"/>
              <w:rPr>
                <w:sz w:val="24"/>
                <w:szCs w:val="24"/>
              </w:rPr>
            </w:pPr>
          </w:p>
        </w:tc>
        <w:tc>
          <w:tcPr>
            <w:tcW w:w="1080" w:type="dxa"/>
          </w:tcPr>
          <w:p w14:paraId="7347BB9B" w14:textId="77777777" w:rsidR="00B61A24" w:rsidRPr="00903BCB" w:rsidRDefault="00B61A24" w:rsidP="005D3A59">
            <w:pPr>
              <w:bidi/>
              <w:ind w:left="0" w:right="0"/>
              <w:jc w:val="center"/>
              <w:rPr>
                <w:sz w:val="24"/>
                <w:szCs w:val="24"/>
              </w:rPr>
            </w:pPr>
          </w:p>
        </w:tc>
        <w:tc>
          <w:tcPr>
            <w:tcW w:w="1350" w:type="dxa"/>
          </w:tcPr>
          <w:p w14:paraId="21F51BBA" w14:textId="77777777" w:rsidR="00B61A24" w:rsidRPr="00903BCB" w:rsidRDefault="00B61A24" w:rsidP="005D3A59">
            <w:pPr>
              <w:numPr>
                <w:ilvl w:val="0"/>
                <w:numId w:val="8"/>
              </w:numPr>
              <w:bidi/>
              <w:ind w:right="0"/>
              <w:jc w:val="center"/>
              <w:rPr>
                <w:sz w:val="24"/>
                <w:szCs w:val="24"/>
              </w:rPr>
            </w:pPr>
          </w:p>
        </w:tc>
      </w:tr>
      <w:tr w:rsidR="00B61A24" w:rsidRPr="00903BCB" w14:paraId="0D6E263A" w14:textId="77777777" w:rsidTr="00FB4145">
        <w:tc>
          <w:tcPr>
            <w:tcW w:w="1098" w:type="dxa"/>
          </w:tcPr>
          <w:p w14:paraId="441B9FB8" w14:textId="77777777" w:rsidR="00B61A24" w:rsidRPr="00903BCB" w:rsidRDefault="00B61A24" w:rsidP="00902DD6">
            <w:pPr>
              <w:bidi/>
              <w:ind w:left="0" w:right="0"/>
              <w:jc w:val="left"/>
              <w:rPr>
                <w:sz w:val="24"/>
                <w:szCs w:val="24"/>
                <w:lang w:bidi="ar-JO"/>
              </w:rPr>
            </w:pPr>
            <w:r w:rsidRPr="00903BCB">
              <w:rPr>
                <w:sz w:val="24"/>
                <w:szCs w:val="24"/>
                <w:lang w:bidi="ar-JO"/>
              </w:rPr>
              <w:t>Germany</w:t>
            </w:r>
          </w:p>
        </w:tc>
        <w:tc>
          <w:tcPr>
            <w:tcW w:w="630" w:type="dxa"/>
          </w:tcPr>
          <w:p w14:paraId="72CB27BD" w14:textId="77777777" w:rsidR="00B61A24" w:rsidRPr="00903BCB" w:rsidRDefault="00B61A24" w:rsidP="005D3A59">
            <w:pPr>
              <w:numPr>
                <w:ilvl w:val="0"/>
                <w:numId w:val="8"/>
              </w:numPr>
              <w:bidi/>
              <w:ind w:right="0"/>
              <w:jc w:val="center"/>
              <w:rPr>
                <w:sz w:val="24"/>
                <w:szCs w:val="24"/>
              </w:rPr>
            </w:pPr>
          </w:p>
        </w:tc>
        <w:tc>
          <w:tcPr>
            <w:tcW w:w="630" w:type="dxa"/>
          </w:tcPr>
          <w:p w14:paraId="76C06BF4" w14:textId="77777777" w:rsidR="00B61A24" w:rsidRPr="00903BCB" w:rsidRDefault="00B61A24" w:rsidP="005D3A59">
            <w:pPr>
              <w:bidi/>
              <w:ind w:left="0" w:right="0"/>
              <w:jc w:val="center"/>
              <w:rPr>
                <w:sz w:val="24"/>
                <w:szCs w:val="24"/>
              </w:rPr>
            </w:pPr>
          </w:p>
        </w:tc>
        <w:tc>
          <w:tcPr>
            <w:tcW w:w="900" w:type="dxa"/>
          </w:tcPr>
          <w:p w14:paraId="4EFA57DE" w14:textId="77777777" w:rsidR="00B61A24" w:rsidRPr="00903BCB" w:rsidRDefault="00B61A24" w:rsidP="005D3A59">
            <w:pPr>
              <w:bidi/>
              <w:ind w:left="0" w:right="0"/>
              <w:jc w:val="center"/>
              <w:rPr>
                <w:sz w:val="24"/>
                <w:szCs w:val="24"/>
              </w:rPr>
            </w:pPr>
          </w:p>
        </w:tc>
        <w:tc>
          <w:tcPr>
            <w:tcW w:w="900" w:type="dxa"/>
          </w:tcPr>
          <w:p w14:paraId="7509AC99" w14:textId="77777777" w:rsidR="00B61A24" w:rsidRPr="00903BCB" w:rsidRDefault="00B61A24" w:rsidP="005D3A59">
            <w:pPr>
              <w:bidi/>
              <w:ind w:left="0" w:right="0"/>
              <w:jc w:val="center"/>
              <w:rPr>
                <w:sz w:val="24"/>
                <w:szCs w:val="24"/>
              </w:rPr>
            </w:pPr>
          </w:p>
        </w:tc>
        <w:tc>
          <w:tcPr>
            <w:tcW w:w="1530" w:type="dxa"/>
          </w:tcPr>
          <w:p w14:paraId="0F2F5854" w14:textId="77777777" w:rsidR="00B61A24" w:rsidRPr="00903BCB" w:rsidRDefault="00B61A24" w:rsidP="005D3A59">
            <w:pPr>
              <w:bidi/>
              <w:ind w:left="0" w:right="0"/>
              <w:jc w:val="center"/>
              <w:rPr>
                <w:sz w:val="24"/>
                <w:szCs w:val="24"/>
              </w:rPr>
            </w:pPr>
          </w:p>
        </w:tc>
        <w:tc>
          <w:tcPr>
            <w:tcW w:w="1620" w:type="dxa"/>
          </w:tcPr>
          <w:p w14:paraId="265C53FA" w14:textId="77777777" w:rsidR="00B61A24" w:rsidRPr="00903BCB" w:rsidRDefault="00B61A24" w:rsidP="005D3A59">
            <w:pPr>
              <w:bidi/>
              <w:ind w:left="0" w:right="0"/>
              <w:jc w:val="center"/>
              <w:rPr>
                <w:sz w:val="24"/>
                <w:szCs w:val="24"/>
              </w:rPr>
            </w:pPr>
          </w:p>
        </w:tc>
        <w:tc>
          <w:tcPr>
            <w:tcW w:w="1080" w:type="dxa"/>
          </w:tcPr>
          <w:p w14:paraId="3F0E5FE8" w14:textId="77777777" w:rsidR="00B61A24" w:rsidRPr="00903BCB" w:rsidRDefault="00B61A24" w:rsidP="005D3A59">
            <w:pPr>
              <w:numPr>
                <w:ilvl w:val="0"/>
                <w:numId w:val="8"/>
              </w:numPr>
              <w:bidi/>
              <w:ind w:right="0"/>
              <w:jc w:val="center"/>
              <w:rPr>
                <w:sz w:val="24"/>
                <w:szCs w:val="24"/>
              </w:rPr>
            </w:pPr>
          </w:p>
        </w:tc>
        <w:tc>
          <w:tcPr>
            <w:tcW w:w="1350" w:type="dxa"/>
          </w:tcPr>
          <w:p w14:paraId="25822911" w14:textId="77777777" w:rsidR="00B61A24" w:rsidRPr="00903BCB" w:rsidRDefault="00B61A24" w:rsidP="005D3A59">
            <w:pPr>
              <w:bidi/>
              <w:ind w:left="720" w:right="0"/>
              <w:jc w:val="center"/>
              <w:rPr>
                <w:sz w:val="24"/>
                <w:szCs w:val="24"/>
              </w:rPr>
            </w:pPr>
          </w:p>
        </w:tc>
      </w:tr>
      <w:tr w:rsidR="00B61A24" w:rsidRPr="00903BCB" w14:paraId="4D91C5DE" w14:textId="77777777" w:rsidTr="00FB4145">
        <w:tc>
          <w:tcPr>
            <w:tcW w:w="1098" w:type="dxa"/>
          </w:tcPr>
          <w:p w14:paraId="55BD499F" w14:textId="77777777" w:rsidR="00B61A24" w:rsidRPr="00903BCB" w:rsidRDefault="00B61A24" w:rsidP="00902DD6">
            <w:pPr>
              <w:bidi/>
              <w:ind w:left="0" w:right="0"/>
              <w:jc w:val="left"/>
              <w:rPr>
                <w:sz w:val="24"/>
                <w:szCs w:val="24"/>
                <w:lang w:bidi="ar-JO"/>
              </w:rPr>
            </w:pPr>
            <w:r w:rsidRPr="00903BCB">
              <w:rPr>
                <w:sz w:val="24"/>
                <w:szCs w:val="24"/>
                <w:lang w:bidi="ar-JO"/>
              </w:rPr>
              <w:t>Japan</w:t>
            </w:r>
          </w:p>
        </w:tc>
        <w:tc>
          <w:tcPr>
            <w:tcW w:w="630" w:type="dxa"/>
          </w:tcPr>
          <w:p w14:paraId="59BE4EB3" w14:textId="77777777" w:rsidR="00B61A24" w:rsidRPr="00903BCB" w:rsidRDefault="00B61A24" w:rsidP="005D3A59">
            <w:pPr>
              <w:numPr>
                <w:ilvl w:val="0"/>
                <w:numId w:val="8"/>
              </w:numPr>
              <w:bidi/>
              <w:ind w:right="0"/>
              <w:jc w:val="center"/>
              <w:rPr>
                <w:sz w:val="24"/>
                <w:szCs w:val="24"/>
              </w:rPr>
            </w:pPr>
          </w:p>
        </w:tc>
        <w:tc>
          <w:tcPr>
            <w:tcW w:w="630" w:type="dxa"/>
          </w:tcPr>
          <w:p w14:paraId="74DDFF1E" w14:textId="77777777" w:rsidR="00B61A24" w:rsidRPr="00903BCB" w:rsidRDefault="00B61A24" w:rsidP="005D3A59">
            <w:pPr>
              <w:bidi/>
              <w:ind w:left="0" w:right="0"/>
              <w:jc w:val="center"/>
              <w:rPr>
                <w:sz w:val="24"/>
                <w:szCs w:val="24"/>
              </w:rPr>
            </w:pPr>
          </w:p>
        </w:tc>
        <w:tc>
          <w:tcPr>
            <w:tcW w:w="900" w:type="dxa"/>
          </w:tcPr>
          <w:p w14:paraId="039116CA" w14:textId="77777777" w:rsidR="00B61A24" w:rsidRPr="00903BCB" w:rsidRDefault="00B61A24" w:rsidP="005D3A59">
            <w:pPr>
              <w:bidi/>
              <w:ind w:left="0" w:right="0"/>
              <w:jc w:val="center"/>
              <w:rPr>
                <w:sz w:val="24"/>
                <w:szCs w:val="24"/>
              </w:rPr>
            </w:pPr>
          </w:p>
        </w:tc>
        <w:tc>
          <w:tcPr>
            <w:tcW w:w="900" w:type="dxa"/>
          </w:tcPr>
          <w:p w14:paraId="702404A5" w14:textId="77777777" w:rsidR="00B61A24" w:rsidRPr="00903BCB" w:rsidRDefault="00B61A24" w:rsidP="005D3A59">
            <w:pPr>
              <w:bidi/>
              <w:ind w:left="0" w:right="0"/>
              <w:jc w:val="center"/>
              <w:rPr>
                <w:sz w:val="24"/>
                <w:szCs w:val="24"/>
              </w:rPr>
            </w:pPr>
          </w:p>
        </w:tc>
        <w:tc>
          <w:tcPr>
            <w:tcW w:w="1530" w:type="dxa"/>
          </w:tcPr>
          <w:p w14:paraId="30D30FCD" w14:textId="77777777" w:rsidR="00B61A24" w:rsidRPr="00903BCB" w:rsidRDefault="00B61A24" w:rsidP="005D3A59">
            <w:pPr>
              <w:bidi/>
              <w:ind w:left="0" w:right="0"/>
              <w:jc w:val="center"/>
              <w:rPr>
                <w:sz w:val="24"/>
                <w:szCs w:val="24"/>
              </w:rPr>
            </w:pPr>
          </w:p>
        </w:tc>
        <w:tc>
          <w:tcPr>
            <w:tcW w:w="1620" w:type="dxa"/>
          </w:tcPr>
          <w:p w14:paraId="2C11E7A4" w14:textId="77777777" w:rsidR="00B61A24" w:rsidRPr="00903BCB" w:rsidRDefault="00B61A24" w:rsidP="005D3A59">
            <w:pPr>
              <w:numPr>
                <w:ilvl w:val="0"/>
                <w:numId w:val="8"/>
              </w:numPr>
              <w:bidi/>
              <w:ind w:right="0"/>
              <w:jc w:val="center"/>
              <w:rPr>
                <w:sz w:val="24"/>
                <w:szCs w:val="24"/>
              </w:rPr>
            </w:pPr>
          </w:p>
        </w:tc>
        <w:tc>
          <w:tcPr>
            <w:tcW w:w="1080" w:type="dxa"/>
          </w:tcPr>
          <w:p w14:paraId="45F052F3" w14:textId="77777777" w:rsidR="00B61A24" w:rsidRPr="00903BCB" w:rsidRDefault="00B61A24" w:rsidP="005D3A59">
            <w:pPr>
              <w:bidi/>
              <w:ind w:left="0" w:right="0"/>
              <w:jc w:val="center"/>
              <w:rPr>
                <w:sz w:val="24"/>
                <w:szCs w:val="24"/>
              </w:rPr>
            </w:pPr>
          </w:p>
        </w:tc>
        <w:tc>
          <w:tcPr>
            <w:tcW w:w="1350" w:type="dxa"/>
          </w:tcPr>
          <w:p w14:paraId="2FAAFBFC" w14:textId="77777777" w:rsidR="00B61A24" w:rsidRPr="00903BCB" w:rsidRDefault="00B61A24" w:rsidP="005D3A59">
            <w:pPr>
              <w:bidi/>
              <w:ind w:left="0" w:right="0"/>
              <w:jc w:val="center"/>
              <w:rPr>
                <w:sz w:val="24"/>
                <w:szCs w:val="24"/>
              </w:rPr>
            </w:pPr>
          </w:p>
        </w:tc>
      </w:tr>
      <w:tr w:rsidR="00B61A24" w:rsidRPr="00903BCB" w14:paraId="642C9CA5" w14:textId="77777777" w:rsidTr="00FB4145">
        <w:tc>
          <w:tcPr>
            <w:tcW w:w="1098" w:type="dxa"/>
          </w:tcPr>
          <w:p w14:paraId="6C60AEE3" w14:textId="77777777" w:rsidR="00B61A24" w:rsidRPr="00903BCB" w:rsidRDefault="00B61A24" w:rsidP="00902DD6">
            <w:pPr>
              <w:bidi/>
              <w:ind w:left="0" w:right="0"/>
              <w:jc w:val="left"/>
              <w:rPr>
                <w:sz w:val="24"/>
                <w:szCs w:val="24"/>
                <w:lang w:bidi="ar-JO"/>
              </w:rPr>
            </w:pPr>
            <w:r w:rsidRPr="00903BCB">
              <w:rPr>
                <w:sz w:val="24"/>
                <w:szCs w:val="24"/>
                <w:lang w:bidi="ar-JO"/>
              </w:rPr>
              <w:t>Australia</w:t>
            </w:r>
          </w:p>
        </w:tc>
        <w:tc>
          <w:tcPr>
            <w:tcW w:w="630" w:type="dxa"/>
          </w:tcPr>
          <w:p w14:paraId="5422211E" w14:textId="77777777" w:rsidR="00B61A24" w:rsidRPr="00903BCB" w:rsidRDefault="00B61A24" w:rsidP="005D3A59">
            <w:pPr>
              <w:numPr>
                <w:ilvl w:val="0"/>
                <w:numId w:val="8"/>
              </w:numPr>
              <w:bidi/>
              <w:ind w:right="0"/>
              <w:jc w:val="center"/>
              <w:rPr>
                <w:sz w:val="24"/>
                <w:szCs w:val="24"/>
              </w:rPr>
            </w:pPr>
          </w:p>
        </w:tc>
        <w:tc>
          <w:tcPr>
            <w:tcW w:w="630" w:type="dxa"/>
          </w:tcPr>
          <w:p w14:paraId="3C5D500B" w14:textId="77777777" w:rsidR="00B61A24" w:rsidRPr="00903BCB" w:rsidRDefault="00B61A24" w:rsidP="005D3A59">
            <w:pPr>
              <w:bidi/>
              <w:ind w:left="0" w:right="0"/>
              <w:jc w:val="center"/>
              <w:rPr>
                <w:sz w:val="24"/>
                <w:szCs w:val="24"/>
              </w:rPr>
            </w:pPr>
          </w:p>
        </w:tc>
        <w:tc>
          <w:tcPr>
            <w:tcW w:w="900" w:type="dxa"/>
          </w:tcPr>
          <w:p w14:paraId="62D48F29" w14:textId="77777777" w:rsidR="00B61A24" w:rsidRPr="00903BCB" w:rsidRDefault="00B61A24" w:rsidP="005D3A59">
            <w:pPr>
              <w:bidi/>
              <w:ind w:left="0" w:right="0"/>
              <w:jc w:val="center"/>
              <w:rPr>
                <w:sz w:val="24"/>
                <w:szCs w:val="24"/>
              </w:rPr>
            </w:pPr>
          </w:p>
        </w:tc>
        <w:tc>
          <w:tcPr>
            <w:tcW w:w="900" w:type="dxa"/>
          </w:tcPr>
          <w:p w14:paraId="0F84F795" w14:textId="77777777" w:rsidR="00B61A24" w:rsidRPr="00903BCB" w:rsidRDefault="00B61A24" w:rsidP="005D3A59">
            <w:pPr>
              <w:bidi/>
              <w:ind w:left="0" w:right="0"/>
              <w:jc w:val="center"/>
              <w:rPr>
                <w:sz w:val="24"/>
                <w:szCs w:val="24"/>
              </w:rPr>
            </w:pPr>
          </w:p>
        </w:tc>
        <w:tc>
          <w:tcPr>
            <w:tcW w:w="1530" w:type="dxa"/>
          </w:tcPr>
          <w:p w14:paraId="7B1AC0E1" w14:textId="77777777" w:rsidR="00B61A24" w:rsidRPr="00903BCB" w:rsidRDefault="00B61A24" w:rsidP="005D3A59">
            <w:pPr>
              <w:bidi/>
              <w:ind w:left="0" w:right="0"/>
              <w:jc w:val="center"/>
              <w:rPr>
                <w:sz w:val="24"/>
                <w:szCs w:val="24"/>
              </w:rPr>
            </w:pPr>
          </w:p>
        </w:tc>
        <w:tc>
          <w:tcPr>
            <w:tcW w:w="1620" w:type="dxa"/>
          </w:tcPr>
          <w:p w14:paraId="4C6668F4" w14:textId="77777777" w:rsidR="00B61A24" w:rsidRPr="00903BCB" w:rsidRDefault="00B61A24" w:rsidP="005D3A59">
            <w:pPr>
              <w:numPr>
                <w:ilvl w:val="0"/>
                <w:numId w:val="8"/>
              </w:numPr>
              <w:bidi/>
              <w:ind w:right="0"/>
              <w:jc w:val="center"/>
              <w:rPr>
                <w:sz w:val="24"/>
                <w:szCs w:val="24"/>
              </w:rPr>
            </w:pPr>
          </w:p>
        </w:tc>
        <w:tc>
          <w:tcPr>
            <w:tcW w:w="1080" w:type="dxa"/>
          </w:tcPr>
          <w:p w14:paraId="0FD5442A" w14:textId="77777777" w:rsidR="00B61A24" w:rsidRPr="00903BCB" w:rsidRDefault="00B61A24" w:rsidP="005D3A59">
            <w:pPr>
              <w:bidi/>
              <w:ind w:left="360" w:right="0"/>
              <w:jc w:val="center"/>
              <w:rPr>
                <w:sz w:val="24"/>
                <w:szCs w:val="24"/>
              </w:rPr>
            </w:pPr>
          </w:p>
        </w:tc>
        <w:tc>
          <w:tcPr>
            <w:tcW w:w="1350" w:type="dxa"/>
          </w:tcPr>
          <w:p w14:paraId="03A4CBD7" w14:textId="77777777" w:rsidR="00B61A24" w:rsidRPr="00903BCB" w:rsidRDefault="00B61A24" w:rsidP="005D3A59">
            <w:pPr>
              <w:bidi/>
              <w:ind w:left="360" w:right="0"/>
              <w:jc w:val="center"/>
              <w:rPr>
                <w:sz w:val="24"/>
                <w:szCs w:val="24"/>
              </w:rPr>
            </w:pPr>
          </w:p>
        </w:tc>
      </w:tr>
    </w:tbl>
    <w:p w14:paraId="1E823FDC" w14:textId="4EC26638" w:rsidR="000D0C31" w:rsidRPr="00903BCB" w:rsidRDefault="00A65A73" w:rsidP="00575BF6">
      <w:pPr>
        <w:ind w:left="0" w:right="0"/>
        <w:jc w:val="left"/>
        <w:rPr>
          <w:sz w:val="24"/>
          <w:szCs w:val="24"/>
        </w:rPr>
      </w:pPr>
      <w:r w:rsidRPr="00903BCB">
        <w:rPr>
          <w:b/>
          <w:sz w:val="24"/>
          <w:szCs w:val="24"/>
        </w:rPr>
        <w:t>Source</w:t>
      </w:r>
      <w:r w:rsidR="008C6B96" w:rsidRPr="00903BCB">
        <w:rPr>
          <w:b/>
          <w:sz w:val="24"/>
          <w:szCs w:val="24"/>
        </w:rPr>
        <w:t>s</w:t>
      </w:r>
      <w:r w:rsidRPr="00903BCB">
        <w:rPr>
          <w:sz w:val="24"/>
          <w:szCs w:val="24"/>
        </w:rPr>
        <w:t>: (Ma 1997</w:t>
      </w:r>
      <w:r w:rsidR="00F70A55" w:rsidRPr="00903BCB">
        <w:rPr>
          <w:sz w:val="24"/>
          <w:szCs w:val="24"/>
        </w:rPr>
        <w:t>,</w:t>
      </w:r>
      <w:r w:rsidR="000431ED" w:rsidRPr="00903BCB">
        <w:rPr>
          <w:sz w:val="24"/>
          <w:szCs w:val="24"/>
        </w:rPr>
        <w:t xml:space="preserve"> Bird 2001</w:t>
      </w:r>
      <w:r w:rsidR="00F70A55" w:rsidRPr="00903BCB">
        <w:rPr>
          <w:sz w:val="24"/>
          <w:szCs w:val="24"/>
        </w:rPr>
        <w:t>,</w:t>
      </w:r>
      <w:r w:rsidR="000431ED" w:rsidRPr="00903BCB">
        <w:rPr>
          <w:sz w:val="24"/>
          <w:szCs w:val="24"/>
        </w:rPr>
        <w:t xml:space="preserve"> Bahl 2000</w:t>
      </w:r>
      <w:r w:rsidR="00C81842" w:rsidRPr="00903BCB">
        <w:rPr>
          <w:sz w:val="24"/>
          <w:szCs w:val="24"/>
        </w:rPr>
        <w:t>, Sen and Trebesch</w:t>
      </w:r>
      <w:r w:rsidR="00FA0930" w:rsidRPr="00903BCB">
        <w:rPr>
          <w:sz w:val="24"/>
          <w:szCs w:val="24"/>
        </w:rPr>
        <w:t xml:space="preserve"> 2004, Alamoush 2010</w:t>
      </w:r>
      <w:r w:rsidR="00F70A55" w:rsidRPr="00903BCB">
        <w:rPr>
          <w:sz w:val="24"/>
          <w:szCs w:val="24"/>
        </w:rPr>
        <w:t>, Allers and Ishemoi 2011</w:t>
      </w:r>
      <w:r w:rsidR="00C82B72" w:rsidRPr="00903BCB">
        <w:rPr>
          <w:sz w:val="24"/>
          <w:szCs w:val="24"/>
        </w:rPr>
        <w:t xml:space="preserve">, </w:t>
      </w:r>
      <w:hyperlink r:id="rId14" w:history="1">
        <w:r w:rsidR="00C82B72" w:rsidRPr="00903BCB">
          <w:rPr>
            <w:rFonts w:eastAsia="Arial Unicode MS"/>
            <w:sz w:val="24"/>
            <w:szCs w:val="24"/>
          </w:rPr>
          <w:t>Banfu</w:t>
        </w:r>
      </w:hyperlink>
      <w:r w:rsidR="00C82B72" w:rsidRPr="00903BCB">
        <w:rPr>
          <w:rFonts w:eastAsia="Arial Unicode MS"/>
          <w:sz w:val="24"/>
          <w:szCs w:val="24"/>
        </w:rPr>
        <w:t>l 2011</w:t>
      </w:r>
      <w:r w:rsidR="00CE6BAE" w:rsidRPr="00903BCB">
        <w:rPr>
          <w:rFonts w:eastAsia="Arial Unicode MS"/>
          <w:sz w:val="24"/>
          <w:szCs w:val="24"/>
        </w:rPr>
        <w:t xml:space="preserve">, </w:t>
      </w:r>
      <w:r w:rsidR="0039666D" w:rsidRPr="00903BCB">
        <w:rPr>
          <w:sz w:val="24"/>
          <w:szCs w:val="24"/>
        </w:rPr>
        <w:t>Caldeira</w:t>
      </w:r>
      <w:r w:rsidR="00CE6BAE" w:rsidRPr="00903BCB">
        <w:rPr>
          <w:sz w:val="24"/>
          <w:szCs w:val="24"/>
        </w:rPr>
        <w:t xml:space="preserve"> </w:t>
      </w:r>
      <w:r w:rsidR="00617C38" w:rsidRPr="00903BCB">
        <w:rPr>
          <w:sz w:val="24"/>
          <w:szCs w:val="24"/>
        </w:rPr>
        <w:t>2012</w:t>
      </w:r>
      <w:r w:rsidRPr="00903BCB">
        <w:rPr>
          <w:sz w:val="24"/>
          <w:szCs w:val="24"/>
        </w:rPr>
        <w:t>)</w:t>
      </w:r>
      <w:r w:rsidR="00F70A55" w:rsidRPr="00903BCB">
        <w:rPr>
          <w:sz w:val="24"/>
          <w:szCs w:val="24"/>
        </w:rPr>
        <w:t>.</w:t>
      </w:r>
    </w:p>
    <w:p w14:paraId="5FADB2CB" w14:textId="77777777" w:rsidR="004547AE" w:rsidRPr="00903BCB" w:rsidRDefault="004547AE" w:rsidP="00623945">
      <w:pPr>
        <w:spacing w:line="360" w:lineRule="auto"/>
        <w:ind w:left="0" w:right="0"/>
        <w:rPr>
          <w:sz w:val="24"/>
          <w:szCs w:val="24"/>
        </w:rPr>
      </w:pPr>
    </w:p>
    <w:p w14:paraId="25B10AB6" w14:textId="5CC08103" w:rsidR="0022313F" w:rsidRPr="00903BCB" w:rsidRDefault="0022313F" w:rsidP="00623945">
      <w:pPr>
        <w:spacing w:line="360" w:lineRule="auto"/>
        <w:ind w:left="0" w:right="0"/>
        <w:rPr>
          <w:sz w:val="24"/>
          <w:szCs w:val="24"/>
        </w:rPr>
      </w:pPr>
      <w:r w:rsidRPr="00903BCB">
        <w:rPr>
          <w:sz w:val="24"/>
          <w:szCs w:val="24"/>
        </w:rPr>
        <w:t>Currently</w:t>
      </w:r>
      <w:r w:rsidR="005C629A" w:rsidRPr="00903BCB">
        <w:rPr>
          <w:sz w:val="24"/>
          <w:szCs w:val="24"/>
        </w:rPr>
        <w:t>,</w:t>
      </w:r>
      <w:r w:rsidRPr="00903BCB">
        <w:rPr>
          <w:sz w:val="24"/>
          <w:szCs w:val="24"/>
        </w:rPr>
        <w:t xml:space="preserve"> there </w:t>
      </w:r>
      <w:r w:rsidR="005C629A" w:rsidRPr="00903BCB">
        <w:rPr>
          <w:sz w:val="24"/>
          <w:szCs w:val="24"/>
        </w:rPr>
        <w:t>is</w:t>
      </w:r>
      <w:r w:rsidRPr="00903BCB">
        <w:rPr>
          <w:sz w:val="24"/>
          <w:szCs w:val="24"/>
        </w:rPr>
        <w:t xml:space="preserve"> no delegation of tax collection </w:t>
      </w:r>
      <w:r w:rsidR="005C629A" w:rsidRPr="00903BCB">
        <w:rPr>
          <w:sz w:val="24"/>
          <w:szCs w:val="24"/>
        </w:rPr>
        <w:t>or</w:t>
      </w:r>
      <w:r w:rsidR="00305F47" w:rsidRPr="00903BCB">
        <w:rPr>
          <w:sz w:val="24"/>
          <w:szCs w:val="24"/>
        </w:rPr>
        <w:t xml:space="preserve"> management to governorates</w:t>
      </w:r>
      <w:r w:rsidRPr="00903BCB">
        <w:rPr>
          <w:sz w:val="24"/>
          <w:szCs w:val="24"/>
        </w:rPr>
        <w:t xml:space="preserve"> (Alamoush 2010)</w:t>
      </w:r>
      <w:r w:rsidR="005C629A" w:rsidRPr="00903BCB">
        <w:rPr>
          <w:sz w:val="24"/>
          <w:szCs w:val="24"/>
        </w:rPr>
        <w:t>,</w:t>
      </w:r>
      <w:r w:rsidRPr="00903BCB">
        <w:rPr>
          <w:sz w:val="24"/>
          <w:szCs w:val="24"/>
        </w:rPr>
        <w:t xml:space="preserve"> let alone tax autonomy.</w:t>
      </w:r>
      <w:r w:rsidRPr="00903BCB">
        <w:rPr>
          <w:rStyle w:val="FootnoteReference"/>
          <w:sz w:val="24"/>
          <w:szCs w:val="24"/>
        </w:rPr>
        <w:footnoteReference w:id="11"/>
      </w:r>
      <w:r w:rsidRPr="00903BCB">
        <w:rPr>
          <w:sz w:val="24"/>
          <w:szCs w:val="24"/>
        </w:rPr>
        <w:t xml:space="preserve"> </w:t>
      </w:r>
      <w:r w:rsidR="00416642" w:rsidRPr="00903BCB">
        <w:rPr>
          <w:sz w:val="24"/>
          <w:szCs w:val="24"/>
        </w:rPr>
        <w:t xml:space="preserve">Even though </w:t>
      </w:r>
      <w:r w:rsidR="005C629A" w:rsidRPr="00903BCB">
        <w:rPr>
          <w:sz w:val="24"/>
          <w:szCs w:val="24"/>
        </w:rPr>
        <w:t>self</w:t>
      </w:r>
      <w:r w:rsidR="00416642" w:rsidRPr="00903BCB">
        <w:rPr>
          <w:sz w:val="24"/>
          <w:szCs w:val="24"/>
        </w:rPr>
        <w:t xml:space="preserve">-revenue generation is very important for </w:t>
      </w:r>
      <w:r w:rsidR="00461C91" w:rsidRPr="00903BCB">
        <w:rPr>
          <w:sz w:val="24"/>
          <w:szCs w:val="24"/>
        </w:rPr>
        <w:t>g</w:t>
      </w:r>
      <w:r w:rsidR="00416642" w:rsidRPr="00903BCB">
        <w:rPr>
          <w:sz w:val="24"/>
          <w:szCs w:val="24"/>
        </w:rPr>
        <w:t xml:space="preserve">overnorates and such </w:t>
      </w:r>
      <w:r w:rsidR="00461C91" w:rsidRPr="00903BCB">
        <w:rPr>
          <w:sz w:val="24"/>
          <w:szCs w:val="24"/>
        </w:rPr>
        <w:t xml:space="preserve">a </w:t>
      </w:r>
      <w:r w:rsidR="00416642" w:rsidRPr="00903BCB">
        <w:rPr>
          <w:sz w:val="24"/>
          <w:szCs w:val="24"/>
        </w:rPr>
        <w:t xml:space="preserve">policy should not be dismissed, this </w:t>
      </w:r>
      <w:r w:rsidR="00AA7920" w:rsidRPr="00903BCB">
        <w:rPr>
          <w:sz w:val="24"/>
          <w:szCs w:val="24"/>
        </w:rPr>
        <w:t xml:space="preserve">article </w:t>
      </w:r>
      <w:r w:rsidR="00461C91" w:rsidRPr="00903BCB">
        <w:rPr>
          <w:sz w:val="24"/>
          <w:szCs w:val="24"/>
        </w:rPr>
        <w:t>focuses on</w:t>
      </w:r>
      <w:r w:rsidR="00416642" w:rsidRPr="00903BCB">
        <w:rPr>
          <w:sz w:val="24"/>
          <w:szCs w:val="24"/>
        </w:rPr>
        <w:t xml:space="preserve"> the intergovernmental transfer mechanism</w:t>
      </w:r>
      <w:r w:rsidR="00E846E7" w:rsidRPr="00903BCB">
        <w:rPr>
          <w:sz w:val="24"/>
          <w:szCs w:val="24"/>
        </w:rPr>
        <w:t>,</w:t>
      </w:r>
      <w:r w:rsidR="00416642" w:rsidRPr="00903BCB">
        <w:rPr>
          <w:sz w:val="24"/>
          <w:szCs w:val="24"/>
        </w:rPr>
        <w:t xml:space="preserve"> </w:t>
      </w:r>
      <w:r w:rsidR="00E846E7" w:rsidRPr="00903BCB">
        <w:rPr>
          <w:sz w:val="24"/>
          <w:szCs w:val="24"/>
        </w:rPr>
        <w:t>not</w:t>
      </w:r>
      <w:r w:rsidR="00416642" w:rsidRPr="00903BCB">
        <w:rPr>
          <w:sz w:val="24"/>
          <w:szCs w:val="24"/>
        </w:rPr>
        <w:t xml:space="preserve"> the role </w:t>
      </w:r>
      <w:r w:rsidR="005C629A" w:rsidRPr="00903BCB">
        <w:rPr>
          <w:sz w:val="24"/>
          <w:szCs w:val="24"/>
        </w:rPr>
        <w:t>or</w:t>
      </w:r>
      <w:r w:rsidR="00416642" w:rsidRPr="00903BCB">
        <w:rPr>
          <w:sz w:val="24"/>
          <w:szCs w:val="24"/>
        </w:rPr>
        <w:t xml:space="preserve"> importance of decentralized revenue collection. </w:t>
      </w:r>
    </w:p>
    <w:p w14:paraId="13F4B05A" w14:textId="77777777" w:rsidR="00997823" w:rsidRPr="00903BCB" w:rsidRDefault="00997823" w:rsidP="00623945">
      <w:pPr>
        <w:spacing w:line="360" w:lineRule="auto"/>
        <w:ind w:left="0" w:right="0"/>
        <w:rPr>
          <w:sz w:val="24"/>
          <w:szCs w:val="24"/>
          <w:highlight w:val="yellow"/>
        </w:rPr>
      </w:pPr>
    </w:p>
    <w:p w14:paraId="2D1E2412" w14:textId="09A00CC1" w:rsidR="00D270E4" w:rsidRPr="00903BCB" w:rsidRDefault="003233F4" w:rsidP="00623945">
      <w:pPr>
        <w:spacing w:line="360" w:lineRule="auto"/>
        <w:ind w:left="0" w:right="0"/>
        <w:rPr>
          <w:sz w:val="24"/>
          <w:szCs w:val="24"/>
        </w:rPr>
      </w:pPr>
      <w:r w:rsidRPr="00903BCB">
        <w:rPr>
          <w:sz w:val="24"/>
          <w:szCs w:val="24"/>
        </w:rPr>
        <w:t>In general terms, t</w:t>
      </w:r>
      <w:r w:rsidR="00D270E4" w:rsidRPr="00903BCB">
        <w:rPr>
          <w:sz w:val="24"/>
          <w:szCs w:val="24"/>
        </w:rPr>
        <w:t>he population criterion reflects the assumption that citizens are the clients of public services and that, consequently, subnational governments’ expenditure needs depend on the number of inhabitants (Sen and Trebesch 2004). The area criterion reflects the assumption that large distances raise the per capita costs of providing public services</w:t>
      </w:r>
      <w:r w:rsidR="00461C91" w:rsidRPr="00903BCB">
        <w:rPr>
          <w:sz w:val="24"/>
          <w:szCs w:val="24"/>
        </w:rPr>
        <w:t xml:space="preserve"> and </w:t>
      </w:r>
      <w:r w:rsidR="00D270E4" w:rsidRPr="00903BCB">
        <w:rPr>
          <w:sz w:val="24"/>
          <w:szCs w:val="24"/>
        </w:rPr>
        <w:t>infrastructure</w:t>
      </w:r>
      <w:r w:rsidR="009E468E" w:rsidRPr="00903BCB">
        <w:rPr>
          <w:sz w:val="24"/>
          <w:szCs w:val="24"/>
        </w:rPr>
        <w:t xml:space="preserve"> (Martinez-Vazquez and Boex 2002)</w:t>
      </w:r>
      <w:r w:rsidR="00D270E4" w:rsidRPr="00903BCB">
        <w:rPr>
          <w:sz w:val="24"/>
          <w:szCs w:val="24"/>
        </w:rPr>
        <w:t>.</w:t>
      </w:r>
      <w:r w:rsidR="009E468E" w:rsidRPr="00903BCB">
        <w:rPr>
          <w:sz w:val="24"/>
          <w:szCs w:val="24"/>
        </w:rPr>
        <w:t xml:space="preserve"> The density criterion reflects the assumption that the costs of delivering public services tend to be higher in very densely populated areas</w:t>
      </w:r>
      <w:r w:rsidR="00D035F3" w:rsidRPr="00903BCB">
        <w:rPr>
          <w:sz w:val="24"/>
          <w:szCs w:val="24"/>
        </w:rPr>
        <w:t>, such as urban areas where, for instance, salaries are typically higher</w:t>
      </w:r>
      <w:r w:rsidR="009E468E" w:rsidRPr="00903BCB">
        <w:rPr>
          <w:sz w:val="24"/>
          <w:szCs w:val="24"/>
        </w:rPr>
        <w:t xml:space="preserve"> </w:t>
      </w:r>
      <w:r w:rsidR="00D035F3" w:rsidRPr="00903BCB">
        <w:rPr>
          <w:sz w:val="24"/>
          <w:szCs w:val="24"/>
        </w:rPr>
        <w:t xml:space="preserve">than in rural settings </w:t>
      </w:r>
      <w:r w:rsidR="009E468E" w:rsidRPr="00903BCB">
        <w:rPr>
          <w:sz w:val="24"/>
          <w:szCs w:val="24"/>
        </w:rPr>
        <w:t>(ibid).</w:t>
      </w:r>
      <w:r w:rsidR="00D035F3" w:rsidRPr="00903BCB">
        <w:rPr>
          <w:sz w:val="24"/>
          <w:szCs w:val="24"/>
        </w:rPr>
        <w:t xml:space="preserve"> The poverty and unemployment criteri</w:t>
      </w:r>
      <w:r w:rsidR="00461C91" w:rsidRPr="00903BCB">
        <w:rPr>
          <w:sz w:val="24"/>
          <w:szCs w:val="24"/>
        </w:rPr>
        <w:t xml:space="preserve">a </w:t>
      </w:r>
      <w:r w:rsidR="00353479" w:rsidRPr="00903BCB">
        <w:rPr>
          <w:sz w:val="24"/>
          <w:szCs w:val="24"/>
        </w:rPr>
        <w:t xml:space="preserve">reflect the assumption that economic backwardness decreases </w:t>
      </w:r>
      <w:r w:rsidR="007D4870" w:rsidRPr="00903BCB">
        <w:rPr>
          <w:sz w:val="24"/>
          <w:szCs w:val="24"/>
        </w:rPr>
        <w:t xml:space="preserve">local </w:t>
      </w:r>
      <w:r w:rsidR="00353479" w:rsidRPr="00903BCB">
        <w:rPr>
          <w:sz w:val="24"/>
          <w:szCs w:val="24"/>
        </w:rPr>
        <w:t xml:space="preserve">revenue capacity and increases the cost of services delivery (Sen and Trebesch 2004). The </w:t>
      </w:r>
      <w:r w:rsidR="00DF3556" w:rsidRPr="00903BCB">
        <w:rPr>
          <w:sz w:val="24"/>
          <w:szCs w:val="24"/>
        </w:rPr>
        <w:t>b</w:t>
      </w:r>
      <w:r w:rsidR="00353479" w:rsidRPr="00903BCB">
        <w:rPr>
          <w:sz w:val="24"/>
          <w:szCs w:val="24"/>
          <w:lang w:bidi="ar-JO"/>
        </w:rPr>
        <w:t>asic public service standard</w:t>
      </w:r>
      <w:r w:rsidR="007D4870" w:rsidRPr="00903BCB">
        <w:rPr>
          <w:sz w:val="24"/>
          <w:szCs w:val="24"/>
          <w:lang w:bidi="ar-JO"/>
        </w:rPr>
        <w:t xml:space="preserve"> criterion reflects the assumption that the </w:t>
      </w:r>
      <w:r w:rsidR="00433447" w:rsidRPr="00903BCB">
        <w:rPr>
          <w:sz w:val="24"/>
          <w:szCs w:val="24"/>
          <w:lang w:bidi="ar-JO"/>
        </w:rPr>
        <w:t>S</w:t>
      </w:r>
      <w:r w:rsidR="007D4870" w:rsidRPr="00903BCB">
        <w:rPr>
          <w:sz w:val="24"/>
          <w:szCs w:val="24"/>
          <w:lang w:bidi="ar-JO"/>
        </w:rPr>
        <w:t>tate should guarantee a minimum standard of public service across the country. The income criterion</w:t>
      </w:r>
      <w:r w:rsidR="005C629A" w:rsidRPr="00903BCB">
        <w:rPr>
          <w:sz w:val="24"/>
          <w:szCs w:val="24"/>
          <w:lang w:bidi="ar-JO"/>
        </w:rPr>
        <w:t>,</w:t>
      </w:r>
      <w:r w:rsidR="007D4870" w:rsidRPr="00903BCB">
        <w:rPr>
          <w:sz w:val="24"/>
          <w:szCs w:val="24"/>
          <w:lang w:bidi="ar-JO"/>
        </w:rPr>
        <w:t xml:space="preserve"> with a negative </w:t>
      </w:r>
      <w:r w:rsidR="00223CB8" w:rsidRPr="00903BCB">
        <w:rPr>
          <w:sz w:val="24"/>
          <w:szCs w:val="24"/>
          <w:lang w:bidi="ar-JO"/>
        </w:rPr>
        <w:t>correlation</w:t>
      </w:r>
      <w:r w:rsidR="007D4870" w:rsidRPr="00903BCB">
        <w:rPr>
          <w:sz w:val="24"/>
          <w:szCs w:val="24"/>
          <w:lang w:bidi="ar-JO"/>
        </w:rPr>
        <w:t xml:space="preserve"> to the amount transferred</w:t>
      </w:r>
      <w:r w:rsidR="005C629A" w:rsidRPr="00903BCB">
        <w:rPr>
          <w:sz w:val="24"/>
          <w:szCs w:val="24"/>
          <w:lang w:bidi="ar-JO"/>
        </w:rPr>
        <w:t>,</w:t>
      </w:r>
      <w:r w:rsidR="007D4870" w:rsidRPr="00903BCB">
        <w:rPr>
          <w:sz w:val="24"/>
          <w:szCs w:val="24"/>
          <w:lang w:bidi="ar-JO"/>
        </w:rPr>
        <w:t xml:space="preserve"> reflects the assumption of </w:t>
      </w:r>
      <w:r w:rsidR="00433447" w:rsidRPr="00903BCB">
        <w:rPr>
          <w:sz w:val="24"/>
          <w:szCs w:val="24"/>
          <w:lang w:bidi="ar-JO"/>
        </w:rPr>
        <w:t xml:space="preserve">a </w:t>
      </w:r>
      <w:r w:rsidR="00250E80" w:rsidRPr="00903BCB">
        <w:rPr>
          <w:sz w:val="24"/>
          <w:szCs w:val="24"/>
          <w:lang w:bidi="ar-JO"/>
        </w:rPr>
        <w:t>positive</w:t>
      </w:r>
      <w:r w:rsidR="007D4870" w:rsidRPr="00903BCB">
        <w:rPr>
          <w:sz w:val="24"/>
          <w:szCs w:val="24"/>
          <w:lang w:bidi="ar-JO"/>
        </w:rPr>
        <w:t xml:space="preserve"> link between income</w:t>
      </w:r>
      <w:r w:rsidR="00250E80" w:rsidRPr="00903BCB">
        <w:rPr>
          <w:sz w:val="24"/>
          <w:szCs w:val="24"/>
          <w:lang w:bidi="ar-JO"/>
        </w:rPr>
        <w:t xml:space="preserve"> and local fiscal capacity</w:t>
      </w:r>
      <w:r w:rsidR="00DC7605" w:rsidRPr="00903BCB">
        <w:rPr>
          <w:sz w:val="24"/>
          <w:szCs w:val="24"/>
          <w:lang w:bidi="ar-JO"/>
        </w:rPr>
        <w:t xml:space="preserve"> in countries where it</w:t>
      </w:r>
      <w:r w:rsidRPr="00903BCB">
        <w:rPr>
          <w:sz w:val="24"/>
          <w:szCs w:val="24"/>
          <w:lang w:bidi="ar-JO"/>
        </w:rPr>
        <w:t xml:space="preserve"> is applied</w:t>
      </w:r>
      <w:r w:rsidR="00250E80" w:rsidRPr="00903BCB">
        <w:rPr>
          <w:sz w:val="24"/>
          <w:szCs w:val="24"/>
          <w:lang w:bidi="ar-JO"/>
        </w:rPr>
        <w:t xml:space="preserve"> (Bird and Smart 2001). The infrastructure criterion reflects the assumption that the greater the local infrastructure deficiencies</w:t>
      </w:r>
      <w:r w:rsidR="00433447" w:rsidRPr="00903BCB">
        <w:rPr>
          <w:sz w:val="24"/>
          <w:szCs w:val="24"/>
          <w:lang w:bidi="ar-JO"/>
        </w:rPr>
        <w:t>,</w:t>
      </w:r>
      <w:r w:rsidR="00250E80" w:rsidRPr="00903BCB">
        <w:rPr>
          <w:sz w:val="24"/>
          <w:szCs w:val="24"/>
          <w:lang w:bidi="ar-JO"/>
        </w:rPr>
        <w:t xml:space="preserve"> the </w:t>
      </w:r>
      <w:r w:rsidR="00433447" w:rsidRPr="00903BCB">
        <w:rPr>
          <w:sz w:val="24"/>
          <w:szCs w:val="24"/>
          <w:lang w:bidi="ar-JO"/>
        </w:rPr>
        <w:t>higher the</w:t>
      </w:r>
      <w:r w:rsidR="00250E80" w:rsidRPr="00903BCB">
        <w:rPr>
          <w:sz w:val="24"/>
          <w:szCs w:val="24"/>
          <w:lang w:bidi="ar-JO"/>
        </w:rPr>
        <w:t xml:space="preserve"> cost of providing public services </w:t>
      </w:r>
      <w:r w:rsidR="00250E80" w:rsidRPr="00903BCB">
        <w:rPr>
          <w:sz w:val="24"/>
          <w:szCs w:val="24"/>
        </w:rPr>
        <w:t>(Martinez-Vazquez and Boex 2002).</w:t>
      </w:r>
    </w:p>
    <w:p w14:paraId="785A82EE" w14:textId="77777777" w:rsidR="00C944B9" w:rsidRPr="00903BCB" w:rsidRDefault="00C944B9" w:rsidP="00623945">
      <w:pPr>
        <w:spacing w:line="360" w:lineRule="auto"/>
        <w:ind w:left="0" w:right="0"/>
        <w:rPr>
          <w:sz w:val="24"/>
          <w:szCs w:val="24"/>
        </w:rPr>
      </w:pPr>
    </w:p>
    <w:p w14:paraId="435DCDBC" w14:textId="77777777" w:rsidR="00F06537" w:rsidRPr="00903BCB" w:rsidRDefault="00DC2E1C" w:rsidP="00167781">
      <w:pPr>
        <w:spacing w:line="360" w:lineRule="auto"/>
        <w:ind w:left="0" w:right="0"/>
        <w:rPr>
          <w:b/>
          <w:sz w:val="24"/>
          <w:szCs w:val="24"/>
        </w:rPr>
      </w:pPr>
      <w:r w:rsidRPr="00903BCB">
        <w:rPr>
          <w:b/>
          <w:sz w:val="24"/>
          <w:szCs w:val="24"/>
        </w:rPr>
        <w:t>5</w:t>
      </w:r>
      <w:r w:rsidR="009629CD" w:rsidRPr="00903BCB">
        <w:rPr>
          <w:b/>
          <w:sz w:val="24"/>
          <w:szCs w:val="24"/>
        </w:rPr>
        <w:t xml:space="preserve">. </w:t>
      </w:r>
      <w:r w:rsidR="00F06537" w:rsidRPr="00903BCB">
        <w:rPr>
          <w:b/>
          <w:sz w:val="24"/>
          <w:szCs w:val="24"/>
        </w:rPr>
        <w:t>Intergo</w:t>
      </w:r>
      <w:r w:rsidR="009629CD" w:rsidRPr="00903BCB">
        <w:rPr>
          <w:b/>
          <w:sz w:val="24"/>
          <w:szCs w:val="24"/>
        </w:rPr>
        <w:t>vernmental Transfer F</w:t>
      </w:r>
      <w:r w:rsidR="00F06537" w:rsidRPr="00903BCB">
        <w:rPr>
          <w:b/>
          <w:sz w:val="24"/>
          <w:szCs w:val="24"/>
        </w:rPr>
        <w:t>ormula</w:t>
      </w:r>
      <w:r w:rsidR="00153EF9" w:rsidRPr="00903BCB">
        <w:rPr>
          <w:b/>
          <w:sz w:val="24"/>
          <w:szCs w:val="24"/>
        </w:rPr>
        <w:t>’s</w:t>
      </w:r>
      <w:r w:rsidR="00F06537" w:rsidRPr="00903BCB">
        <w:rPr>
          <w:b/>
          <w:sz w:val="24"/>
          <w:szCs w:val="24"/>
        </w:rPr>
        <w:t xml:space="preserve"> </w:t>
      </w:r>
      <w:r w:rsidR="009629CD" w:rsidRPr="00903BCB">
        <w:rPr>
          <w:b/>
          <w:sz w:val="24"/>
          <w:szCs w:val="24"/>
        </w:rPr>
        <w:t xml:space="preserve">Parameters </w:t>
      </w:r>
      <w:r w:rsidR="00F06537" w:rsidRPr="00903BCB">
        <w:rPr>
          <w:b/>
          <w:sz w:val="24"/>
          <w:szCs w:val="24"/>
        </w:rPr>
        <w:t>for Jordan</w:t>
      </w:r>
    </w:p>
    <w:p w14:paraId="6ED40EC3" w14:textId="39315232" w:rsidR="006A7742" w:rsidRPr="00903BCB" w:rsidRDefault="00F32B69" w:rsidP="00167781">
      <w:pPr>
        <w:spacing w:line="360" w:lineRule="auto"/>
        <w:ind w:left="0" w:right="0"/>
        <w:rPr>
          <w:sz w:val="24"/>
          <w:szCs w:val="24"/>
        </w:rPr>
      </w:pPr>
      <w:r w:rsidRPr="00903BCB">
        <w:rPr>
          <w:sz w:val="24"/>
          <w:szCs w:val="24"/>
        </w:rPr>
        <w:t xml:space="preserve">Two criteria were used </w:t>
      </w:r>
      <w:r w:rsidR="00321FB4" w:rsidRPr="00903BCB">
        <w:rPr>
          <w:sz w:val="24"/>
          <w:szCs w:val="24"/>
        </w:rPr>
        <w:t>to select which of the parameters</w:t>
      </w:r>
      <w:r w:rsidRPr="00903BCB">
        <w:rPr>
          <w:sz w:val="24"/>
          <w:szCs w:val="24"/>
        </w:rPr>
        <w:t xml:space="preserve"> identified in the literature review </w:t>
      </w:r>
      <w:r w:rsidR="009B5A18" w:rsidRPr="00903BCB">
        <w:rPr>
          <w:sz w:val="24"/>
          <w:szCs w:val="24"/>
        </w:rPr>
        <w:t>to</w:t>
      </w:r>
      <w:r w:rsidRPr="00903BCB">
        <w:rPr>
          <w:sz w:val="24"/>
          <w:szCs w:val="24"/>
        </w:rPr>
        <w:t xml:space="preserve"> includ</w:t>
      </w:r>
      <w:r w:rsidR="004E4687" w:rsidRPr="00903BCB">
        <w:rPr>
          <w:sz w:val="24"/>
          <w:szCs w:val="24"/>
        </w:rPr>
        <w:t>e</w:t>
      </w:r>
      <w:r w:rsidRPr="00903BCB">
        <w:rPr>
          <w:sz w:val="24"/>
          <w:szCs w:val="24"/>
        </w:rPr>
        <w:t xml:space="preserve"> in a formula-design for Jordan: (i) tradition of us</w:t>
      </w:r>
      <w:r w:rsidR="009B5A18" w:rsidRPr="00903BCB">
        <w:rPr>
          <w:sz w:val="24"/>
          <w:szCs w:val="24"/>
        </w:rPr>
        <w:t>e in transfer</w:t>
      </w:r>
      <w:r w:rsidR="00433447" w:rsidRPr="00903BCB">
        <w:rPr>
          <w:sz w:val="24"/>
          <w:szCs w:val="24"/>
        </w:rPr>
        <w:t xml:space="preserve"> </w:t>
      </w:r>
      <w:r w:rsidRPr="00903BCB">
        <w:rPr>
          <w:sz w:val="24"/>
          <w:szCs w:val="24"/>
        </w:rPr>
        <w:t xml:space="preserve">policy </w:t>
      </w:r>
      <w:r w:rsidR="009B5A18" w:rsidRPr="00903BCB">
        <w:rPr>
          <w:sz w:val="24"/>
          <w:szCs w:val="24"/>
        </w:rPr>
        <w:t>in Jordan</w:t>
      </w:r>
      <w:r w:rsidR="00723F56" w:rsidRPr="00903BCB">
        <w:rPr>
          <w:sz w:val="24"/>
          <w:szCs w:val="24"/>
        </w:rPr>
        <w:t>,</w:t>
      </w:r>
      <w:r w:rsidRPr="00903BCB">
        <w:rPr>
          <w:sz w:val="24"/>
          <w:szCs w:val="24"/>
        </w:rPr>
        <w:t xml:space="preserve"> and (ii) current availability of data. Population size and poverty rates have been proposed for the </w:t>
      </w:r>
      <w:r w:rsidR="00723F56" w:rsidRPr="00903BCB">
        <w:rPr>
          <w:sz w:val="24"/>
          <w:szCs w:val="24"/>
        </w:rPr>
        <w:t>m</w:t>
      </w:r>
      <w:r w:rsidRPr="00903BCB">
        <w:rPr>
          <w:sz w:val="24"/>
          <w:szCs w:val="24"/>
        </w:rPr>
        <w:t>unicipal</w:t>
      </w:r>
      <w:r w:rsidR="00433447" w:rsidRPr="00903BCB">
        <w:rPr>
          <w:sz w:val="24"/>
          <w:szCs w:val="24"/>
        </w:rPr>
        <w:t xml:space="preserve"> </w:t>
      </w:r>
      <w:r w:rsidRPr="00903BCB">
        <w:rPr>
          <w:sz w:val="24"/>
          <w:szCs w:val="24"/>
        </w:rPr>
        <w:t xml:space="preserve">transfer formula in the past (MOPIC 2006) and there </w:t>
      </w:r>
      <w:r w:rsidR="00723F56" w:rsidRPr="00903BCB">
        <w:rPr>
          <w:sz w:val="24"/>
          <w:szCs w:val="24"/>
        </w:rPr>
        <w:t>is</w:t>
      </w:r>
      <w:r w:rsidRPr="00903BCB">
        <w:rPr>
          <w:sz w:val="24"/>
          <w:szCs w:val="24"/>
        </w:rPr>
        <w:t xml:space="preserve"> data available. </w:t>
      </w:r>
      <w:r w:rsidR="00321FB4" w:rsidRPr="00903BCB">
        <w:rPr>
          <w:sz w:val="24"/>
          <w:szCs w:val="24"/>
        </w:rPr>
        <w:t>The parameters</w:t>
      </w:r>
      <w:r w:rsidR="007E4F8C" w:rsidRPr="00903BCB">
        <w:rPr>
          <w:sz w:val="24"/>
          <w:szCs w:val="24"/>
        </w:rPr>
        <w:t xml:space="preserve"> </w:t>
      </w:r>
      <w:r w:rsidR="00433447" w:rsidRPr="00903BCB">
        <w:rPr>
          <w:sz w:val="24"/>
          <w:szCs w:val="24"/>
        </w:rPr>
        <w:t xml:space="preserve">of </w:t>
      </w:r>
      <w:r w:rsidR="007E4F8C" w:rsidRPr="00903BCB">
        <w:rPr>
          <w:sz w:val="24"/>
          <w:szCs w:val="24"/>
        </w:rPr>
        <w:t>area, population density and unemployment rate have</w:t>
      </w:r>
      <w:r w:rsidR="009B5A18" w:rsidRPr="00903BCB">
        <w:rPr>
          <w:sz w:val="24"/>
          <w:szCs w:val="24"/>
        </w:rPr>
        <w:t xml:space="preserve"> not been used for transfer</w:t>
      </w:r>
      <w:r w:rsidR="0088322F" w:rsidRPr="00903BCB">
        <w:rPr>
          <w:sz w:val="24"/>
          <w:szCs w:val="24"/>
        </w:rPr>
        <w:t xml:space="preserve"> </w:t>
      </w:r>
      <w:r w:rsidR="009B5A18" w:rsidRPr="00903BCB">
        <w:rPr>
          <w:sz w:val="24"/>
          <w:szCs w:val="24"/>
        </w:rPr>
        <w:t>policy in Jordan</w:t>
      </w:r>
      <w:r w:rsidR="00723F56" w:rsidRPr="00903BCB">
        <w:rPr>
          <w:sz w:val="24"/>
          <w:szCs w:val="24"/>
        </w:rPr>
        <w:t>,</w:t>
      </w:r>
      <w:r w:rsidR="009B5A18" w:rsidRPr="00903BCB">
        <w:rPr>
          <w:sz w:val="24"/>
          <w:szCs w:val="24"/>
        </w:rPr>
        <w:t xml:space="preserve"> but there </w:t>
      </w:r>
      <w:r w:rsidR="00614490" w:rsidRPr="00903BCB">
        <w:rPr>
          <w:sz w:val="24"/>
          <w:szCs w:val="24"/>
        </w:rPr>
        <w:t>are</w:t>
      </w:r>
      <w:r w:rsidR="00321FB4" w:rsidRPr="00903BCB">
        <w:rPr>
          <w:sz w:val="24"/>
          <w:szCs w:val="24"/>
        </w:rPr>
        <w:t xml:space="preserve"> data available. The parameters</w:t>
      </w:r>
      <w:r w:rsidR="0088322F" w:rsidRPr="00903BCB">
        <w:rPr>
          <w:sz w:val="24"/>
          <w:szCs w:val="24"/>
        </w:rPr>
        <w:t xml:space="preserve"> of</w:t>
      </w:r>
      <w:r w:rsidR="009B5A18" w:rsidRPr="00903BCB">
        <w:rPr>
          <w:sz w:val="24"/>
          <w:szCs w:val="24"/>
        </w:rPr>
        <w:t xml:space="preserve"> </w:t>
      </w:r>
      <w:r w:rsidR="00F817FD" w:rsidRPr="00903BCB">
        <w:rPr>
          <w:sz w:val="24"/>
          <w:szCs w:val="24"/>
        </w:rPr>
        <w:t xml:space="preserve">service and infrastructure standards </w:t>
      </w:r>
      <w:r w:rsidR="009B5A18" w:rsidRPr="00903BCB">
        <w:rPr>
          <w:sz w:val="24"/>
          <w:szCs w:val="24"/>
        </w:rPr>
        <w:t xml:space="preserve">do not </w:t>
      </w:r>
      <w:r w:rsidR="0088322F" w:rsidRPr="00903BCB">
        <w:rPr>
          <w:sz w:val="24"/>
          <w:szCs w:val="24"/>
        </w:rPr>
        <w:t xml:space="preserve">meet </w:t>
      </w:r>
      <w:r w:rsidR="009B5A18" w:rsidRPr="00903BCB">
        <w:rPr>
          <w:sz w:val="24"/>
          <w:szCs w:val="24"/>
        </w:rPr>
        <w:t>the second criteria</w:t>
      </w:r>
      <w:r w:rsidR="0088322F" w:rsidRPr="00903BCB">
        <w:rPr>
          <w:sz w:val="24"/>
          <w:szCs w:val="24"/>
        </w:rPr>
        <w:t xml:space="preserve"> -</w:t>
      </w:r>
      <w:r w:rsidR="009B5A18" w:rsidRPr="00903BCB">
        <w:rPr>
          <w:sz w:val="24"/>
          <w:szCs w:val="24"/>
        </w:rPr>
        <w:t xml:space="preserve"> there </w:t>
      </w:r>
      <w:r w:rsidR="00614490" w:rsidRPr="00903BCB">
        <w:rPr>
          <w:sz w:val="24"/>
          <w:szCs w:val="24"/>
        </w:rPr>
        <w:t>are</w:t>
      </w:r>
      <w:r w:rsidR="009B5A18" w:rsidRPr="00903BCB">
        <w:rPr>
          <w:sz w:val="24"/>
          <w:szCs w:val="24"/>
        </w:rPr>
        <w:t xml:space="preserve"> no data available at </w:t>
      </w:r>
      <w:r w:rsidR="004E4687" w:rsidRPr="00903BCB">
        <w:rPr>
          <w:sz w:val="24"/>
          <w:szCs w:val="24"/>
        </w:rPr>
        <w:t xml:space="preserve">the </w:t>
      </w:r>
      <w:r w:rsidR="009629CD" w:rsidRPr="00903BCB">
        <w:rPr>
          <w:sz w:val="24"/>
          <w:szCs w:val="24"/>
        </w:rPr>
        <w:t>governorate level. T</w:t>
      </w:r>
      <w:r w:rsidR="004E3487" w:rsidRPr="00903BCB">
        <w:rPr>
          <w:sz w:val="24"/>
          <w:szCs w:val="24"/>
        </w:rPr>
        <w:t xml:space="preserve">he </w:t>
      </w:r>
      <w:r w:rsidR="00681E9A" w:rsidRPr="00903BCB">
        <w:rPr>
          <w:sz w:val="24"/>
          <w:szCs w:val="24"/>
        </w:rPr>
        <w:t>per-capita income parameter</w:t>
      </w:r>
      <w:r w:rsidR="004E3487" w:rsidRPr="00903BCB">
        <w:rPr>
          <w:sz w:val="24"/>
          <w:szCs w:val="24"/>
        </w:rPr>
        <w:t xml:space="preserve"> is not included for two reasons. First, the major Jordanian policy goal is not about income distribution </w:t>
      </w:r>
      <w:r w:rsidR="003349A5" w:rsidRPr="00903BCB">
        <w:rPr>
          <w:sz w:val="24"/>
          <w:szCs w:val="24"/>
        </w:rPr>
        <w:t>across the different economic levels</w:t>
      </w:r>
      <w:r w:rsidR="0010672C" w:rsidRPr="00903BCB">
        <w:rPr>
          <w:sz w:val="24"/>
          <w:szCs w:val="24"/>
        </w:rPr>
        <w:t>,</w:t>
      </w:r>
      <w:r w:rsidR="003349A5" w:rsidRPr="00903BCB">
        <w:rPr>
          <w:sz w:val="24"/>
          <w:szCs w:val="24"/>
        </w:rPr>
        <w:t xml:space="preserve"> </w:t>
      </w:r>
      <w:r w:rsidR="004E3487" w:rsidRPr="00903BCB">
        <w:rPr>
          <w:sz w:val="24"/>
          <w:szCs w:val="24"/>
        </w:rPr>
        <w:t xml:space="preserve">but about extreme poverty affecting </w:t>
      </w:r>
      <w:r w:rsidR="003349A5" w:rsidRPr="00903BCB">
        <w:rPr>
          <w:sz w:val="24"/>
          <w:szCs w:val="24"/>
        </w:rPr>
        <w:t xml:space="preserve">the bottom </w:t>
      </w:r>
      <w:r w:rsidR="004E3487" w:rsidRPr="00903BCB">
        <w:rPr>
          <w:sz w:val="24"/>
          <w:szCs w:val="24"/>
        </w:rPr>
        <w:t xml:space="preserve">0.8 million Jordanians. Second, the income </w:t>
      </w:r>
      <w:r w:rsidR="00C26753" w:rsidRPr="00903BCB">
        <w:rPr>
          <w:sz w:val="24"/>
          <w:szCs w:val="24"/>
        </w:rPr>
        <w:t>level is already factored in</w:t>
      </w:r>
      <w:r w:rsidR="0010672C" w:rsidRPr="00903BCB">
        <w:rPr>
          <w:sz w:val="24"/>
          <w:szCs w:val="24"/>
        </w:rPr>
        <w:t>to</w:t>
      </w:r>
      <w:r w:rsidR="00C26753" w:rsidRPr="00903BCB">
        <w:rPr>
          <w:sz w:val="24"/>
          <w:szCs w:val="24"/>
        </w:rPr>
        <w:t xml:space="preserve"> </w:t>
      </w:r>
      <w:r w:rsidR="004E3487" w:rsidRPr="00903BCB">
        <w:rPr>
          <w:sz w:val="24"/>
          <w:szCs w:val="24"/>
        </w:rPr>
        <w:t>the poverty measure.</w:t>
      </w:r>
      <w:r w:rsidR="0006468A" w:rsidRPr="00903BCB">
        <w:rPr>
          <w:sz w:val="24"/>
          <w:szCs w:val="24"/>
        </w:rPr>
        <w:t xml:space="preserve"> </w:t>
      </w:r>
      <w:r w:rsidR="005201D9" w:rsidRPr="00903BCB">
        <w:rPr>
          <w:sz w:val="24"/>
          <w:szCs w:val="24"/>
        </w:rPr>
        <w:t xml:space="preserve">In </w:t>
      </w:r>
      <w:r w:rsidR="0006468A" w:rsidRPr="00903BCB">
        <w:rPr>
          <w:sz w:val="24"/>
          <w:szCs w:val="24"/>
        </w:rPr>
        <w:t>short</w:t>
      </w:r>
      <w:r w:rsidR="00E846E7" w:rsidRPr="00903BCB">
        <w:rPr>
          <w:sz w:val="24"/>
          <w:szCs w:val="24"/>
        </w:rPr>
        <w:t>,</w:t>
      </w:r>
      <w:r w:rsidR="005201D9" w:rsidRPr="00903BCB">
        <w:rPr>
          <w:sz w:val="24"/>
          <w:szCs w:val="24"/>
        </w:rPr>
        <w:t xml:space="preserve"> </w:t>
      </w:r>
      <w:r w:rsidR="0006468A" w:rsidRPr="00903BCB">
        <w:rPr>
          <w:sz w:val="24"/>
          <w:szCs w:val="24"/>
        </w:rPr>
        <w:t xml:space="preserve">various </w:t>
      </w:r>
      <w:r w:rsidR="00A334AB" w:rsidRPr="00903BCB">
        <w:rPr>
          <w:sz w:val="24"/>
          <w:szCs w:val="24"/>
        </w:rPr>
        <w:t xml:space="preserve">policy </w:t>
      </w:r>
      <w:r w:rsidR="0006468A" w:rsidRPr="00903BCB">
        <w:rPr>
          <w:sz w:val="24"/>
          <w:szCs w:val="24"/>
        </w:rPr>
        <w:t>and pragmatic considerations are involved in recommending</w:t>
      </w:r>
      <w:r w:rsidR="00A334AB" w:rsidRPr="00903BCB">
        <w:rPr>
          <w:sz w:val="24"/>
          <w:szCs w:val="24"/>
        </w:rPr>
        <w:t xml:space="preserve"> </w:t>
      </w:r>
      <w:r w:rsidR="0010672C" w:rsidRPr="00903BCB">
        <w:rPr>
          <w:sz w:val="24"/>
          <w:szCs w:val="24"/>
        </w:rPr>
        <w:t>the parameters</w:t>
      </w:r>
      <w:r w:rsidR="0025490B" w:rsidRPr="00903BCB">
        <w:rPr>
          <w:sz w:val="24"/>
          <w:szCs w:val="24"/>
        </w:rPr>
        <w:t xml:space="preserve"> of</w:t>
      </w:r>
      <w:r w:rsidR="0010672C" w:rsidRPr="00903BCB">
        <w:rPr>
          <w:sz w:val="24"/>
          <w:szCs w:val="24"/>
        </w:rPr>
        <w:t xml:space="preserve"> population, area, population density, poverty, and unemployment </w:t>
      </w:r>
      <w:r w:rsidR="0006468A" w:rsidRPr="00903BCB">
        <w:rPr>
          <w:sz w:val="24"/>
          <w:szCs w:val="24"/>
        </w:rPr>
        <w:t>for use in</w:t>
      </w:r>
      <w:r w:rsidR="0010672C" w:rsidRPr="00903BCB">
        <w:rPr>
          <w:sz w:val="24"/>
          <w:szCs w:val="24"/>
        </w:rPr>
        <w:t xml:space="preserve"> </w:t>
      </w:r>
      <w:r w:rsidR="00F06537" w:rsidRPr="00903BCB">
        <w:rPr>
          <w:sz w:val="24"/>
          <w:szCs w:val="24"/>
        </w:rPr>
        <w:t>an intergovernmental transfer formula for Jordan</w:t>
      </w:r>
      <w:r w:rsidR="006A7742" w:rsidRPr="00903BCB">
        <w:rPr>
          <w:sz w:val="24"/>
          <w:szCs w:val="24"/>
        </w:rPr>
        <w:t>.</w:t>
      </w:r>
    </w:p>
    <w:p w14:paraId="62A6EFB3" w14:textId="77777777" w:rsidR="00D535D7" w:rsidRPr="00903BCB" w:rsidRDefault="00D535D7" w:rsidP="00167781">
      <w:pPr>
        <w:spacing w:line="360" w:lineRule="auto"/>
        <w:ind w:left="0" w:right="0"/>
        <w:rPr>
          <w:sz w:val="24"/>
          <w:szCs w:val="24"/>
        </w:rPr>
      </w:pPr>
    </w:p>
    <w:p w14:paraId="42DF9892" w14:textId="77777777" w:rsidR="00145791" w:rsidRPr="00903BCB" w:rsidRDefault="00DC2E1C" w:rsidP="0022313F">
      <w:pPr>
        <w:spacing w:line="360" w:lineRule="auto"/>
        <w:ind w:left="0" w:right="0"/>
        <w:rPr>
          <w:b/>
          <w:iCs/>
          <w:sz w:val="24"/>
          <w:szCs w:val="24"/>
        </w:rPr>
      </w:pPr>
      <w:r w:rsidRPr="00903BCB">
        <w:rPr>
          <w:b/>
          <w:iCs/>
          <w:sz w:val="24"/>
          <w:szCs w:val="24"/>
        </w:rPr>
        <w:t>5</w:t>
      </w:r>
      <w:r w:rsidR="00381C32" w:rsidRPr="00903BCB">
        <w:rPr>
          <w:b/>
          <w:iCs/>
          <w:sz w:val="24"/>
          <w:szCs w:val="24"/>
        </w:rPr>
        <w:t>.1</w:t>
      </w:r>
      <w:r w:rsidR="005655D9" w:rsidRPr="00903BCB">
        <w:rPr>
          <w:b/>
          <w:iCs/>
          <w:sz w:val="24"/>
          <w:szCs w:val="24"/>
        </w:rPr>
        <w:t xml:space="preserve"> Formula </w:t>
      </w:r>
      <w:r w:rsidR="00A334AB" w:rsidRPr="00903BCB">
        <w:rPr>
          <w:b/>
          <w:iCs/>
          <w:sz w:val="24"/>
          <w:szCs w:val="24"/>
        </w:rPr>
        <w:t>Parameters</w:t>
      </w:r>
    </w:p>
    <w:p w14:paraId="013D4D5F" w14:textId="1CF76473" w:rsidR="001F5B72" w:rsidRPr="00903BCB" w:rsidRDefault="00145791" w:rsidP="00167781">
      <w:pPr>
        <w:spacing w:line="360" w:lineRule="auto"/>
        <w:ind w:left="0" w:right="0"/>
        <w:rPr>
          <w:sz w:val="24"/>
          <w:szCs w:val="24"/>
        </w:rPr>
      </w:pPr>
      <w:r w:rsidRPr="00903BCB">
        <w:rPr>
          <w:sz w:val="24"/>
          <w:szCs w:val="24"/>
        </w:rPr>
        <w:t xml:space="preserve">The population </w:t>
      </w:r>
      <w:r w:rsidR="007F347A" w:rsidRPr="00903BCB">
        <w:rPr>
          <w:sz w:val="24"/>
          <w:szCs w:val="24"/>
        </w:rPr>
        <w:t xml:space="preserve">of Jordan </w:t>
      </w:r>
      <w:r w:rsidRPr="00903BCB">
        <w:rPr>
          <w:sz w:val="24"/>
          <w:szCs w:val="24"/>
        </w:rPr>
        <w:t xml:space="preserve">is </w:t>
      </w:r>
      <w:r w:rsidR="007F347A" w:rsidRPr="00903BCB">
        <w:rPr>
          <w:sz w:val="24"/>
          <w:szCs w:val="24"/>
        </w:rPr>
        <w:t xml:space="preserve">approximately </w:t>
      </w:r>
      <w:r w:rsidRPr="00903BCB">
        <w:rPr>
          <w:sz w:val="24"/>
          <w:szCs w:val="24"/>
        </w:rPr>
        <w:t>6</w:t>
      </w:r>
      <w:r w:rsidR="000A114A" w:rsidRPr="00903BCB">
        <w:rPr>
          <w:sz w:val="24"/>
          <w:szCs w:val="24"/>
        </w:rPr>
        <w:t>.113</w:t>
      </w:r>
      <w:r w:rsidRPr="00903BCB">
        <w:rPr>
          <w:sz w:val="24"/>
          <w:szCs w:val="24"/>
        </w:rPr>
        <w:t xml:space="preserve"> million, of which 40% liv</w:t>
      </w:r>
      <w:r w:rsidR="008560D9" w:rsidRPr="00903BCB">
        <w:rPr>
          <w:sz w:val="24"/>
          <w:szCs w:val="24"/>
        </w:rPr>
        <w:t>e</w:t>
      </w:r>
      <w:r w:rsidRPr="00903BCB">
        <w:rPr>
          <w:sz w:val="24"/>
          <w:szCs w:val="24"/>
        </w:rPr>
        <w:t xml:space="preserve"> in the capital Amman</w:t>
      </w:r>
      <w:r w:rsidR="0010672C" w:rsidRPr="00903BCB">
        <w:rPr>
          <w:sz w:val="24"/>
          <w:szCs w:val="24"/>
        </w:rPr>
        <w:t>,</w:t>
      </w:r>
      <w:r w:rsidRPr="00903BCB">
        <w:rPr>
          <w:sz w:val="24"/>
          <w:szCs w:val="24"/>
        </w:rPr>
        <w:t xml:space="preserve"> which represents </w:t>
      </w:r>
      <w:r w:rsidR="008560D9" w:rsidRPr="00903BCB">
        <w:rPr>
          <w:sz w:val="24"/>
          <w:szCs w:val="24"/>
        </w:rPr>
        <w:t>only 8.5% of the kingdom</w:t>
      </w:r>
      <w:r w:rsidR="004E4687" w:rsidRPr="00903BCB">
        <w:rPr>
          <w:sz w:val="24"/>
          <w:szCs w:val="24"/>
        </w:rPr>
        <w:t>’s</w:t>
      </w:r>
      <w:r w:rsidR="008560D9" w:rsidRPr="00903BCB">
        <w:rPr>
          <w:sz w:val="24"/>
          <w:szCs w:val="24"/>
        </w:rPr>
        <w:t xml:space="preserve"> area. I</w:t>
      </w:r>
      <w:r w:rsidRPr="00903BCB">
        <w:rPr>
          <w:sz w:val="24"/>
          <w:szCs w:val="24"/>
        </w:rPr>
        <w:t xml:space="preserve">n contrast, </w:t>
      </w:r>
      <w:r w:rsidR="000A114A" w:rsidRPr="00903BCB">
        <w:rPr>
          <w:sz w:val="24"/>
          <w:szCs w:val="24"/>
        </w:rPr>
        <w:t xml:space="preserve">Ma'an </w:t>
      </w:r>
      <w:r w:rsidR="007F347A" w:rsidRPr="00903BCB">
        <w:rPr>
          <w:sz w:val="24"/>
          <w:szCs w:val="24"/>
        </w:rPr>
        <w:t>G</w:t>
      </w:r>
      <w:r w:rsidR="000A114A" w:rsidRPr="00903BCB">
        <w:rPr>
          <w:sz w:val="24"/>
          <w:szCs w:val="24"/>
        </w:rPr>
        <w:t>overnorate represents 37% of the kingdom</w:t>
      </w:r>
      <w:r w:rsidR="004E4687" w:rsidRPr="00903BCB">
        <w:rPr>
          <w:sz w:val="24"/>
          <w:szCs w:val="24"/>
        </w:rPr>
        <w:t>’s</w:t>
      </w:r>
      <w:r w:rsidR="000A114A" w:rsidRPr="00903BCB">
        <w:rPr>
          <w:sz w:val="24"/>
          <w:szCs w:val="24"/>
        </w:rPr>
        <w:t xml:space="preserve"> area </w:t>
      </w:r>
      <w:r w:rsidR="008560D9" w:rsidRPr="00903BCB">
        <w:rPr>
          <w:sz w:val="24"/>
          <w:szCs w:val="24"/>
        </w:rPr>
        <w:t xml:space="preserve">and </w:t>
      </w:r>
      <w:r w:rsidR="000A114A" w:rsidRPr="00903BCB">
        <w:rPr>
          <w:sz w:val="24"/>
          <w:szCs w:val="24"/>
        </w:rPr>
        <w:t xml:space="preserve">includes </w:t>
      </w:r>
      <w:r w:rsidRPr="00903BCB">
        <w:rPr>
          <w:sz w:val="24"/>
          <w:szCs w:val="24"/>
        </w:rPr>
        <w:t xml:space="preserve">only 2.2% of </w:t>
      </w:r>
      <w:r w:rsidR="008560D9" w:rsidRPr="00903BCB">
        <w:rPr>
          <w:sz w:val="24"/>
          <w:szCs w:val="24"/>
        </w:rPr>
        <w:t xml:space="preserve">the country's total population (see Table </w:t>
      </w:r>
      <w:r w:rsidR="009E5DC9" w:rsidRPr="00903BCB">
        <w:rPr>
          <w:sz w:val="24"/>
          <w:szCs w:val="24"/>
        </w:rPr>
        <w:t>4</w:t>
      </w:r>
      <w:r w:rsidR="008560D9" w:rsidRPr="00903BCB">
        <w:rPr>
          <w:sz w:val="24"/>
          <w:szCs w:val="24"/>
        </w:rPr>
        <w:t>).</w:t>
      </w:r>
      <w:r w:rsidR="000A114A" w:rsidRPr="00903BCB">
        <w:rPr>
          <w:sz w:val="24"/>
          <w:szCs w:val="24"/>
        </w:rPr>
        <w:t xml:space="preserve"> </w:t>
      </w:r>
    </w:p>
    <w:p w14:paraId="27CDF1D5" w14:textId="77777777" w:rsidR="001F5B72" w:rsidRDefault="001F5B72" w:rsidP="00167781">
      <w:pPr>
        <w:spacing w:line="360" w:lineRule="auto"/>
        <w:ind w:left="0" w:right="0"/>
        <w:rPr>
          <w:sz w:val="24"/>
          <w:szCs w:val="24"/>
        </w:rPr>
      </w:pPr>
    </w:p>
    <w:p w14:paraId="57F9535B" w14:textId="77777777" w:rsidR="00F25273" w:rsidRDefault="00F25273" w:rsidP="00167781">
      <w:pPr>
        <w:spacing w:line="360" w:lineRule="auto"/>
        <w:ind w:left="0" w:right="0"/>
        <w:rPr>
          <w:sz w:val="24"/>
          <w:szCs w:val="24"/>
        </w:rPr>
      </w:pPr>
    </w:p>
    <w:p w14:paraId="12FFBF53" w14:textId="77777777" w:rsidR="00F25273" w:rsidRPr="00903BCB" w:rsidRDefault="00F25273" w:rsidP="00167781">
      <w:pPr>
        <w:spacing w:line="360" w:lineRule="auto"/>
        <w:ind w:left="0" w:right="0"/>
        <w:rPr>
          <w:sz w:val="24"/>
          <w:szCs w:val="24"/>
        </w:rPr>
      </w:pPr>
    </w:p>
    <w:p w14:paraId="22C33453" w14:textId="77777777" w:rsidR="00145791" w:rsidRPr="00903BCB" w:rsidRDefault="00145791" w:rsidP="001823C5">
      <w:pPr>
        <w:ind w:left="720" w:right="0" w:firstLine="990"/>
        <w:jc w:val="left"/>
        <w:rPr>
          <w:b/>
          <w:bCs/>
          <w:sz w:val="24"/>
          <w:szCs w:val="24"/>
          <w:lang w:val="en-GB"/>
        </w:rPr>
      </w:pPr>
      <w:r w:rsidRPr="00903BCB">
        <w:rPr>
          <w:b/>
          <w:bCs/>
          <w:sz w:val="24"/>
          <w:szCs w:val="24"/>
          <w:lang w:val="en-GB"/>
        </w:rPr>
        <w:t xml:space="preserve">Table </w:t>
      </w:r>
      <w:r w:rsidR="00DC2E1C" w:rsidRPr="00903BCB">
        <w:rPr>
          <w:b/>
          <w:bCs/>
          <w:sz w:val="24"/>
          <w:szCs w:val="24"/>
          <w:lang w:val="en-GB"/>
        </w:rPr>
        <w:t>4</w:t>
      </w:r>
      <w:r w:rsidRPr="00903BCB">
        <w:rPr>
          <w:b/>
          <w:bCs/>
          <w:sz w:val="24"/>
          <w:szCs w:val="24"/>
          <w:lang w:val="en-GB"/>
        </w:rPr>
        <w:t xml:space="preserve">: </w:t>
      </w:r>
      <w:r w:rsidRPr="00903BCB">
        <w:rPr>
          <w:bCs/>
          <w:sz w:val="24"/>
          <w:szCs w:val="24"/>
          <w:lang w:val="en-GB"/>
        </w:rPr>
        <w:t>Area, Population and Density by Governorate</w:t>
      </w:r>
    </w:p>
    <w:tbl>
      <w:tblPr>
        <w:tblW w:w="3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16"/>
        <w:gridCol w:w="1257"/>
        <w:gridCol w:w="1026"/>
        <w:gridCol w:w="1190"/>
      </w:tblGrid>
      <w:tr w:rsidR="0066534D" w:rsidRPr="00903BCB" w14:paraId="1DEDFA5F" w14:textId="77777777" w:rsidTr="00CA50FE">
        <w:trPr>
          <w:jc w:val="center"/>
        </w:trPr>
        <w:tc>
          <w:tcPr>
            <w:tcW w:w="760" w:type="pct"/>
            <w:shd w:val="clear" w:color="auto" w:fill="auto"/>
            <w:noWrap/>
            <w:vAlign w:val="center"/>
            <w:hideMark/>
          </w:tcPr>
          <w:p w14:paraId="35BB1F1E" w14:textId="77777777" w:rsidR="00145791" w:rsidRPr="00903BCB" w:rsidRDefault="00145791" w:rsidP="0066534D">
            <w:pPr>
              <w:ind w:left="0" w:right="0"/>
              <w:jc w:val="center"/>
              <w:rPr>
                <w:bCs/>
                <w:sz w:val="24"/>
                <w:szCs w:val="24"/>
              </w:rPr>
            </w:pPr>
            <w:r w:rsidRPr="00903BCB">
              <w:rPr>
                <w:bCs/>
                <w:sz w:val="24"/>
                <w:szCs w:val="24"/>
              </w:rPr>
              <w:t>Region</w:t>
            </w:r>
          </w:p>
        </w:tc>
        <w:tc>
          <w:tcPr>
            <w:tcW w:w="1156" w:type="pct"/>
            <w:shd w:val="clear" w:color="auto" w:fill="auto"/>
            <w:vAlign w:val="center"/>
            <w:hideMark/>
          </w:tcPr>
          <w:p w14:paraId="66A5A49D" w14:textId="77777777" w:rsidR="00145791" w:rsidRPr="00903BCB" w:rsidRDefault="00145791" w:rsidP="0066534D">
            <w:pPr>
              <w:ind w:left="0" w:right="0"/>
              <w:jc w:val="center"/>
              <w:rPr>
                <w:bCs/>
                <w:sz w:val="24"/>
                <w:szCs w:val="24"/>
              </w:rPr>
            </w:pPr>
            <w:r w:rsidRPr="00903BCB">
              <w:rPr>
                <w:bCs/>
                <w:sz w:val="24"/>
                <w:szCs w:val="24"/>
              </w:rPr>
              <w:t>Governorate</w:t>
            </w:r>
          </w:p>
        </w:tc>
        <w:tc>
          <w:tcPr>
            <w:tcW w:w="1029" w:type="pct"/>
            <w:shd w:val="clear" w:color="auto" w:fill="auto"/>
            <w:vAlign w:val="center"/>
            <w:hideMark/>
          </w:tcPr>
          <w:p w14:paraId="7BA913F7" w14:textId="77777777" w:rsidR="00145791" w:rsidRPr="00903BCB" w:rsidRDefault="00145791" w:rsidP="0066534D">
            <w:pPr>
              <w:ind w:left="0" w:right="0"/>
              <w:jc w:val="center"/>
              <w:rPr>
                <w:bCs/>
                <w:sz w:val="24"/>
                <w:szCs w:val="24"/>
              </w:rPr>
            </w:pPr>
            <w:r w:rsidRPr="00903BCB">
              <w:rPr>
                <w:bCs/>
                <w:sz w:val="24"/>
                <w:szCs w:val="24"/>
              </w:rPr>
              <w:t>Population</w:t>
            </w:r>
          </w:p>
        </w:tc>
        <w:tc>
          <w:tcPr>
            <w:tcW w:w="1062" w:type="pct"/>
            <w:shd w:val="clear" w:color="auto" w:fill="auto"/>
            <w:vAlign w:val="center"/>
            <w:hideMark/>
          </w:tcPr>
          <w:p w14:paraId="206FF161" w14:textId="77777777" w:rsidR="00EC25F7" w:rsidRPr="00903BCB" w:rsidRDefault="00EC25F7" w:rsidP="0066534D">
            <w:pPr>
              <w:ind w:left="0" w:right="0"/>
              <w:jc w:val="center"/>
              <w:rPr>
                <w:bCs/>
                <w:sz w:val="24"/>
                <w:szCs w:val="24"/>
              </w:rPr>
            </w:pPr>
            <w:r w:rsidRPr="00903BCB">
              <w:rPr>
                <w:bCs/>
                <w:sz w:val="24"/>
                <w:szCs w:val="24"/>
              </w:rPr>
              <w:t>Area</w:t>
            </w:r>
          </w:p>
          <w:p w14:paraId="018BD974" w14:textId="77777777" w:rsidR="00145791" w:rsidRPr="00903BCB" w:rsidRDefault="0066534D" w:rsidP="0066534D">
            <w:pPr>
              <w:ind w:left="0" w:right="0"/>
              <w:jc w:val="center"/>
              <w:rPr>
                <w:bCs/>
                <w:sz w:val="24"/>
                <w:szCs w:val="24"/>
              </w:rPr>
            </w:pPr>
            <w:r w:rsidRPr="00903BCB">
              <w:rPr>
                <w:bCs/>
                <w:sz w:val="24"/>
                <w:szCs w:val="24"/>
              </w:rPr>
              <w:t>(k</w:t>
            </w:r>
            <w:r w:rsidR="00145791" w:rsidRPr="00903BCB">
              <w:rPr>
                <w:bCs/>
                <w:sz w:val="24"/>
                <w:szCs w:val="24"/>
              </w:rPr>
              <w:t>m</w:t>
            </w:r>
            <w:r w:rsidR="00145791" w:rsidRPr="00903BCB">
              <w:rPr>
                <w:bCs/>
                <w:sz w:val="24"/>
                <w:szCs w:val="24"/>
                <w:vertAlign w:val="superscript"/>
              </w:rPr>
              <w:t>2</w:t>
            </w:r>
            <w:r w:rsidRPr="00903BCB">
              <w:rPr>
                <w:bCs/>
                <w:sz w:val="24"/>
                <w:szCs w:val="24"/>
              </w:rPr>
              <w:t>)</w:t>
            </w:r>
          </w:p>
        </w:tc>
        <w:tc>
          <w:tcPr>
            <w:tcW w:w="991" w:type="pct"/>
            <w:shd w:val="clear" w:color="auto" w:fill="auto"/>
            <w:vAlign w:val="center"/>
            <w:hideMark/>
          </w:tcPr>
          <w:p w14:paraId="6D21E7FE" w14:textId="77777777" w:rsidR="0066534D" w:rsidRPr="00903BCB" w:rsidRDefault="0066534D" w:rsidP="0066534D">
            <w:pPr>
              <w:ind w:left="0" w:right="0"/>
              <w:jc w:val="center"/>
              <w:rPr>
                <w:bCs/>
                <w:sz w:val="24"/>
                <w:szCs w:val="24"/>
              </w:rPr>
            </w:pPr>
            <w:r w:rsidRPr="00903BCB">
              <w:rPr>
                <w:bCs/>
                <w:sz w:val="24"/>
                <w:szCs w:val="24"/>
              </w:rPr>
              <w:t>Density</w:t>
            </w:r>
          </w:p>
          <w:p w14:paraId="48CDE599" w14:textId="77777777" w:rsidR="00145791" w:rsidRPr="00903BCB" w:rsidRDefault="0066534D" w:rsidP="0066534D">
            <w:pPr>
              <w:ind w:left="0" w:right="0"/>
              <w:jc w:val="center"/>
              <w:rPr>
                <w:bCs/>
                <w:sz w:val="24"/>
                <w:szCs w:val="24"/>
              </w:rPr>
            </w:pPr>
            <w:r w:rsidRPr="00903BCB">
              <w:rPr>
                <w:bCs/>
                <w:sz w:val="24"/>
                <w:szCs w:val="24"/>
              </w:rPr>
              <w:t>(</w:t>
            </w:r>
            <w:r w:rsidR="00145791" w:rsidRPr="00903BCB">
              <w:rPr>
                <w:bCs/>
                <w:sz w:val="24"/>
                <w:szCs w:val="24"/>
              </w:rPr>
              <w:t>p</w:t>
            </w:r>
            <w:r w:rsidRPr="00903BCB">
              <w:rPr>
                <w:bCs/>
                <w:sz w:val="24"/>
                <w:szCs w:val="24"/>
              </w:rPr>
              <w:t>op</w:t>
            </w:r>
            <w:r w:rsidR="00145791" w:rsidRPr="00903BCB">
              <w:rPr>
                <w:bCs/>
                <w:sz w:val="24"/>
                <w:szCs w:val="24"/>
              </w:rPr>
              <w:t>/km</w:t>
            </w:r>
            <w:r w:rsidR="00145791" w:rsidRPr="00903BCB">
              <w:rPr>
                <w:bCs/>
                <w:sz w:val="24"/>
                <w:szCs w:val="24"/>
                <w:vertAlign w:val="superscript"/>
              </w:rPr>
              <w:t>2</w:t>
            </w:r>
            <w:r w:rsidRPr="00903BCB">
              <w:rPr>
                <w:bCs/>
                <w:sz w:val="24"/>
                <w:szCs w:val="24"/>
              </w:rPr>
              <w:t>)</w:t>
            </w:r>
          </w:p>
        </w:tc>
      </w:tr>
      <w:tr w:rsidR="00CA50FE" w:rsidRPr="00903BCB" w14:paraId="12226EAF" w14:textId="77777777" w:rsidTr="00CA50FE">
        <w:trPr>
          <w:jc w:val="center"/>
        </w:trPr>
        <w:tc>
          <w:tcPr>
            <w:tcW w:w="760" w:type="pct"/>
            <w:noWrap/>
            <w:vAlign w:val="center"/>
            <w:hideMark/>
          </w:tcPr>
          <w:p w14:paraId="4DAAD58B" w14:textId="77777777" w:rsidR="00145791" w:rsidRPr="00903BCB" w:rsidRDefault="00145791" w:rsidP="00145791">
            <w:pPr>
              <w:ind w:left="0" w:right="0"/>
              <w:jc w:val="left"/>
              <w:rPr>
                <w:sz w:val="24"/>
                <w:szCs w:val="24"/>
              </w:rPr>
            </w:pPr>
            <w:r w:rsidRPr="00903BCB">
              <w:rPr>
                <w:sz w:val="24"/>
                <w:szCs w:val="24"/>
              </w:rPr>
              <w:t>North</w:t>
            </w:r>
          </w:p>
        </w:tc>
        <w:tc>
          <w:tcPr>
            <w:tcW w:w="1156" w:type="pct"/>
            <w:noWrap/>
            <w:vAlign w:val="center"/>
            <w:hideMark/>
          </w:tcPr>
          <w:p w14:paraId="2DCF16D4" w14:textId="77777777" w:rsidR="00145791" w:rsidRPr="00903BCB" w:rsidRDefault="00145791" w:rsidP="00145791">
            <w:pPr>
              <w:ind w:left="0" w:right="0"/>
              <w:jc w:val="left"/>
              <w:rPr>
                <w:sz w:val="24"/>
                <w:szCs w:val="24"/>
              </w:rPr>
            </w:pPr>
            <w:r w:rsidRPr="00903BCB">
              <w:rPr>
                <w:sz w:val="24"/>
                <w:szCs w:val="24"/>
              </w:rPr>
              <w:t>Irbid</w:t>
            </w:r>
          </w:p>
        </w:tc>
        <w:tc>
          <w:tcPr>
            <w:tcW w:w="1029" w:type="pct"/>
            <w:noWrap/>
            <w:vAlign w:val="center"/>
            <w:hideMark/>
          </w:tcPr>
          <w:p w14:paraId="7CAB9AFA" w14:textId="77777777" w:rsidR="00145791" w:rsidRPr="00903BCB" w:rsidRDefault="00145791" w:rsidP="0066534D">
            <w:pPr>
              <w:ind w:left="0" w:right="0"/>
              <w:jc w:val="right"/>
              <w:rPr>
                <w:sz w:val="24"/>
                <w:szCs w:val="24"/>
              </w:rPr>
            </w:pPr>
            <w:r w:rsidRPr="00903BCB">
              <w:rPr>
                <w:sz w:val="24"/>
                <w:szCs w:val="24"/>
              </w:rPr>
              <w:t>1,088,100</w:t>
            </w:r>
          </w:p>
        </w:tc>
        <w:tc>
          <w:tcPr>
            <w:tcW w:w="1062" w:type="pct"/>
            <w:noWrap/>
            <w:vAlign w:val="center"/>
            <w:hideMark/>
          </w:tcPr>
          <w:p w14:paraId="5E657276" w14:textId="77777777" w:rsidR="00145791" w:rsidRPr="00903BCB" w:rsidRDefault="00145791" w:rsidP="0066534D">
            <w:pPr>
              <w:ind w:left="0" w:right="0"/>
              <w:jc w:val="right"/>
              <w:rPr>
                <w:sz w:val="24"/>
                <w:szCs w:val="24"/>
              </w:rPr>
            </w:pPr>
            <w:r w:rsidRPr="00903BCB">
              <w:rPr>
                <w:sz w:val="24"/>
                <w:szCs w:val="24"/>
              </w:rPr>
              <w:t>1,572</w:t>
            </w:r>
          </w:p>
        </w:tc>
        <w:tc>
          <w:tcPr>
            <w:tcW w:w="991" w:type="pct"/>
            <w:noWrap/>
            <w:vAlign w:val="center"/>
            <w:hideMark/>
          </w:tcPr>
          <w:p w14:paraId="74E50CA1" w14:textId="77777777" w:rsidR="00145791" w:rsidRPr="00903BCB" w:rsidRDefault="00145791" w:rsidP="0066534D">
            <w:pPr>
              <w:ind w:left="0" w:right="0"/>
              <w:jc w:val="right"/>
              <w:rPr>
                <w:sz w:val="24"/>
                <w:szCs w:val="24"/>
              </w:rPr>
            </w:pPr>
            <w:r w:rsidRPr="00903BCB">
              <w:rPr>
                <w:sz w:val="24"/>
                <w:szCs w:val="24"/>
              </w:rPr>
              <w:t>677</w:t>
            </w:r>
          </w:p>
        </w:tc>
      </w:tr>
      <w:tr w:rsidR="00CA50FE" w:rsidRPr="00903BCB" w14:paraId="5094128A" w14:textId="77777777" w:rsidTr="00CA50FE">
        <w:trPr>
          <w:jc w:val="center"/>
        </w:trPr>
        <w:tc>
          <w:tcPr>
            <w:tcW w:w="760" w:type="pct"/>
            <w:noWrap/>
            <w:vAlign w:val="center"/>
            <w:hideMark/>
          </w:tcPr>
          <w:p w14:paraId="4DFCDC28" w14:textId="77777777" w:rsidR="00145791" w:rsidRPr="00903BCB" w:rsidRDefault="00145791" w:rsidP="00145791">
            <w:pPr>
              <w:ind w:left="0" w:right="0"/>
              <w:jc w:val="left"/>
              <w:rPr>
                <w:sz w:val="24"/>
                <w:szCs w:val="24"/>
              </w:rPr>
            </w:pPr>
          </w:p>
        </w:tc>
        <w:tc>
          <w:tcPr>
            <w:tcW w:w="1156" w:type="pct"/>
            <w:noWrap/>
            <w:vAlign w:val="center"/>
            <w:hideMark/>
          </w:tcPr>
          <w:p w14:paraId="7896C74A" w14:textId="77777777" w:rsidR="00145791" w:rsidRPr="00903BCB" w:rsidRDefault="00145791" w:rsidP="00145791">
            <w:pPr>
              <w:ind w:left="0" w:right="0"/>
              <w:jc w:val="left"/>
              <w:rPr>
                <w:sz w:val="24"/>
                <w:szCs w:val="24"/>
              </w:rPr>
            </w:pPr>
            <w:r w:rsidRPr="00903BCB">
              <w:rPr>
                <w:sz w:val="24"/>
                <w:szCs w:val="24"/>
              </w:rPr>
              <w:t>Mafraq</w:t>
            </w:r>
          </w:p>
        </w:tc>
        <w:tc>
          <w:tcPr>
            <w:tcW w:w="1029" w:type="pct"/>
            <w:noWrap/>
            <w:vAlign w:val="center"/>
            <w:hideMark/>
          </w:tcPr>
          <w:p w14:paraId="4B685D24" w14:textId="77777777" w:rsidR="00145791" w:rsidRPr="00903BCB" w:rsidRDefault="00145791" w:rsidP="0066534D">
            <w:pPr>
              <w:ind w:left="0" w:right="0"/>
              <w:jc w:val="right"/>
              <w:rPr>
                <w:sz w:val="24"/>
                <w:szCs w:val="24"/>
              </w:rPr>
            </w:pPr>
            <w:r w:rsidRPr="00903BCB">
              <w:rPr>
                <w:sz w:val="24"/>
                <w:szCs w:val="24"/>
              </w:rPr>
              <w:t>287,300</w:t>
            </w:r>
          </w:p>
        </w:tc>
        <w:tc>
          <w:tcPr>
            <w:tcW w:w="1062" w:type="pct"/>
            <w:noWrap/>
            <w:vAlign w:val="center"/>
            <w:hideMark/>
          </w:tcPr>
          <w:p w14:paraId="7DCA0045" w14:textId="77777777" w:rsidR="00145791" w:rsidRPr="00903BCB" w:rsidRDefault="00145791" w:rsidP="0066534D">
            <w:pPr>
              <w:ind w:left="0" w:right="0"/>
              <w:jc w:val="right"/>
              <w:rPr>
                <w:sz w:val="24"/>
                <w:szCs w:val="24"/>
              </w:rPr>
            </w:pPr>
            <w:r w:rsidRPr="00903BCB">
              <w:rPr>
                <w:sz w:val="24"/>
                <w:szCs w:val="24"/>
              </w:rPr>
              <w:t>26,541</w:t>
            </w:r>
          </w:p>
        </w:tc>
        <w:tc>
          <w:tcPr>
            <w:tcW w:w="991" w:type="pct"/>
            <w:noWrap/>
            <w:vAlign w:val="center"/>
            <w:hideMark/>
          </w:tcPr>
          <w:p w14:paraId="4979613C" w14:textId="77777777" w:rsidR="00145791" w:rsidRPr="00903BCB" w:rsidRDefault="00145791" w:rsidP="0066534D">
            <w:pPr>
              <w:ind w:left="0" w:right="0"/>
              <w:jc w:val="right"/>
              <w:rPr>
                <w:sz w:val="24"/>
                <w:szCs w:val="24"/>
              </w:rPr>
            </w:pPr>
            <w:r w:rsidRPr="00903BCB">
              <w:rPr>
                <w:sz w:val="24"/>
                <w:szCs w:val="24"/>
              </w:rPr>
              <w:t>11</w:t>
            </w:r>
          </w:p>
        </w:tc>
      </w:tr>
      <w:tr w:rsidR="00CA50FE" w:rsidRPr="00903BCB" w14:paraId="017777FE" w14:textId="77777777" w:rsidTr="00CA50FE">
        <w:trPr>
          <w:jc w:val="center"/>
        </w:trPr>
        <w:tc>
          <w:tcPr>
            <w:tcW w:w="760" w:type="pct"/>
            <w:noWrap/>
            <w:vAlign w:val="center"/>
            <w:hideMark/>
          </w:tcPr>
          <w:p w14:paraId="5B980682" w14:textId="77777777" w:rsidR="00145791" w:rsidRPr="00903BCB" w:rsidRDefault="00145791" w:rsidP="00145791">
            <w:pPr>
              <w:ind w:left="0" w:right="0"/>
              <w:jc w:val="left"/>
              <w:rPr>
                <w:sz w:val="24"/>
                <w:szCs w:val="24"/>
              </w:rPr>
            </w:pPr>
          </w:p>
        </w:tc>
        <w:tc>
          <w:tcPr>
            <w:tcW w:w="1156" w:type="pct"/>
            <w:noWrap/>
            <w:vAlign w:val="center"/>
            <w:hideMark/>
          </w:tcPr>
          <w:p w14:paraId="723E82EA" w14:textId="77777777" w:rsidR="00145791" w:rsidRPr="00903BCB" w:rsidRDefault="00145791" w:rsidP="00145791">
            <w:pPr>
              <w:ind w:left="0" w:right="0"/>
              <w:jc w:val="left"/>
              <w:rPr>
                <w:sz w:val="24"/>
                <w:szCs w:val="24"/>
              </w:rPr>
            </w:pPr>
            <w:r w:rsidRPr="00903BCB">
              <w:rPr>
                <w:sz w:val="24"/>
                <w:szCs w:val="24"/>
              </w:rPr>
              <w:t>Jarash</w:t>
            </w:r>
          </w:p>
        </w:tc>
        <w:tc>
          <w:tcPr>
            <w:tcW w:w="1029" w:type="pct"/>
            <w:noWrap/>
            <w:vAlign w:val="center"/>
            <w:hideMark/>
          </w:tcPr>
          <w:p w14:paraId="6331351B" w14:textId="77777777" w:rsidR="00145791" w:rsidRPr="00903BCB" w:rsidRDefault="00145791" w:rsidP="0066534D">
            <w:pPr>
              <w:ind w:left="0" w:right="0"/>
              <w:jc w:val="right"/>
              <w:rPr>
                <w:sz w:val="24"/>
                <w:szCs w:val="24"/>
              </w:rPr>
            </w:pPr>
            <w:r w:rsidRPr="00903BCB">
              <w:rPr>
                <w:sz w:val="24"/>
                <w:szCs w:val="24"/>
              </w:rPr>
              <w:t>183,400</w:t>
            </w:r>
          </w:p>
        </w:tc>
        <w:tc>
          <w:tcPr>
            <w:tcW w:w="1062" w:type="pct"/>
            <w:noWrap/>
            <w:vAlign w:val="center"/>
            <w:hideMark/>
          </w:tcPr>
          <w:p w14:paraId="71CF2E70" w14:textId="77777777" w:rsidR="00145791" w:rsidRPr="00903BCB" w:rsidRDefault="00145791" w:rsidP="0066534D">
            <w:pPr>
              <w:ind w:left="0" w:right="0"/>
              <w:jc w:val="right"/>
              <w:rPr>
                <w:sz w:val="24"/>
                <w:szCs w:val="24"/>
              </w:rPr>
            </w:pPr>
            <w:r w:rsidRPr="00903BCB">
              <w:rPr>
                <w:sz w:val="24"/>
                <w:szCs w:val="24"/>
              </w:rPr>
              <w:t>410</w:t>
            </w:r>
          </w:p>
        </w:tc>
        <w:tc>
          <w:tcPr>
            <w:tcW w:w="991" w:type="pct"/>
            <w:noWrap/>
            <w:vAlign w:val="center"/>
            <w:hideMark/>
          </w:tcPr>
          <w:p w14:paraId="34357287" w14:textId="77777777" w:rsidR="00145791" w:rsidRPr="00903BCB" w:rsidRDefault="00145791" w:rsidP="0066534D">
            <w:pPr>
              <w:ind w:left="0" w:right="0"/>
              <w:jc w:val="right"/>
              <w:rPr>
                <w:sz w:val="24"/>
                <w:szCs w:val="24"/>
              </w:rPr>
            </w:pPr>
            <w:r w:rsidRPr="00903BCB">
              <w:rPr>
                <w:sz w:val="24"/>
                <w:szCs w:val="24"/>
              </w:rPr>
              <w:t>438</w:t>
            </w:r>
          </w:p>
        </w:tc>
      </w:tr>
      <w:tr w:rsidR="00CA50FE" w:rsidRPr="00903BCB" w14:paraId="2826ED22" w14:textId="77777777" w:rsidTr="00CA50FE">
        <w:trPr>
          <w:jc w:val="center"/>
        </w:trPr>
        <w:tc>
          <w:tcPr>
            <w:tcW w:w="760" w:type="pct"/>
            <w:noWrap/>
            <w:vAlign w:val="center"/>
            <w:hideMark/>
          </w:tcPr>
          <w:p w14:paraId="5F4301AB" w14:textId="77777777" w:rsidR="00145791" w:rsidRPr="00903BCB" w:rsidRDefault="00145791" w:rsidP="00145791">
            <w:pPr>
              <w:ind w:left="0" w:right="0"/>
              <w:jc w:val="left"/>
              <w:rPr>
                <w:sz w:val="24"/>
                <w:szCs w:val="24"/>
              </w:rPr>
            </w:pPr>
          </w:p>
        </w:tc>
        <w:tc>
          <w:tcPr>
            <w:tcW w:w="1156" w:type="pct"/>
            <w:noWrap/>
            <w:vAlign w:val="center"/>
            <w:hideMark/>
          </w:tcPr>
          <w:p w14:paraId="28A3F862" w14:textId="77777777" w:rsidR="00145791" w:rsidRPr="00903BCB" w:rsidRDefault="00145791" w:rsidP="00145791">
            <w:pPr>
              <w:ind w:left="0" w:right="0"/>
              <w:jc w:val="left"/>
              <w:rPr>
                <w:sz w:val="24"/>
                <w:szCs w:val="24"/>
              </w:rPr>
            </w:pPr>
            <w:r w:rsidRPr="00903BCB">
              <w:rPr>
                <w:sz w:val="24"/>
                <w:szCs w:val="24"/>
              </w:rPr>
              <w:t>Ajloun</w:t>
            </w:r>
          </w:p>
        </w:tc>
        <w:tc>
          <w:tcPr>
            <w:tcW w:w="1029" w:type="pct"/>
            <w:noWrap/>
            <w:vAlign w:val="center"/>
            <w:hideMark/>
          </w:tcPr>
          <w:p w14:paraId="357C7ED3" w14:textId="77777777" w:rsidR="00145791" w:rsidRPr="00903BCB" w:rsidRDefault="00145791" w:rsidP="0066534D">
            <w:pPr>
              <w:ind w:left="0" w:right="0"/>
              <w:jc w:val="right"/>
              <w:rPr>
                <w:sz w:val="24"/>
                <w:szCs w:val="24"/>
              </w:rPr>
            </w:pPr>
            <w:r w:rsidRPr="00903BCB">
              <w:rPr>
                <w:sz w:val="24"/>
                <w:szCs w:val="24"/>
              </w:rPr>
              <w:t>140,600</w:t>
            </w:r>
          </w:p>
        </w:tc>
        <w:tc>
          <w:tcPr>
            <w:tcW w:w="1062" w:type="pct"/>
            <w:noWrap/>
            <w:vAlign w:val="center"/>
            <w:hideMark/>
          </w:tcPr>
          <w:p w14:paraId="041A397A" w14:textId="77777777" w:rsidR="00145791" w:rsidRPr="00903BCB" w:rsidRDefault="00145791" w:rsidP="0066534D">
            <w:pPr>
              <w:ind w:left="0" w:right="0"/>
              <w:jc w:val="right"/>
              <w:rPr>
                <w:sz w:val="24"/>
                <w:szCs w:val="24"/>
              </w:rPr>
            </w:pPr>
            <w:r w:rsidRPr="00903BCB">
              <w:rPr>
                <w:sz w:val="24"/>
                <w:szCs w:val="24"/>
              </w:rPr>
              <w:t>420</w:t>
            </w:r>
          </w:p>
        </w:tc>
        <w:tc>
          <w:tcPr>
            <w:tcW w:w="991" w:type="pct"/>
            <w:noWrap/>
            <w:vAlign w:val="center"/>
            <w:hideMark/>
          </w:tcPr>
          <w:p w14:paraId="7D1BA21B" w14:textId="77777777" w:rsidR="00145791" w:rsidRPr="00903BCB" w:rsidRDefault="00145791" w:rsidP="0066534D">
            <w:pPr>
              <w:ind w:left="0" w:right="0"/>
              <w:jc w:val="right"/>
              <w:rPr>
                <w:sz w:val="24"/>
                <w:szCs w:val="24"/>
              </w:rPr>
            </w:pPr>
            <w:r w:rsidRPr="00903BCB">
              <w:rPr>
                <w:sz w:val="24"/>
                <w:szCs w:val="24"/>
              </w:rPr>
              <w:t>327</w:t>
            </w:r>
          </w:p>
        </w:tc>
      </w:tr>
      <w:tr w:rsidR="00CA50FE" w:rsidRPr="00903BCB" w14:paraId="5A29636E" w14:textId="77777777" w:rsidTr="00CA50FE">
        <w:trPr>
          <w:jc w:val="center"/>
        </w:trPr>
        <w:tc>
          <w:tcPr>
            <w:tcW w:w="760" w:type="pct"/>
            <w:noWrap/>
            <w:vAlign w:val="center"/>
            <w:hideMark/>
          </w:tcPr>
          <w:p w14:paraId="7863E69F" w14:textId="77777777" w:rsidR="00145791" w:rsidRPr="00903BCB" w:rsidRDefault="00145791" w:rsidP="00145791">
            <w:pPr>
              <w:ind w:left="0" w:right="0"/>
              <w:jc w:val="left"/>
              <w:rPr>
                <w:sz w:val="24"/>
                <w:szCs w:val="24"/>
              </w:rPr>
            </w:pPr>
            <w:r w:rsidRPr="00903BCB">
              <w:rPr>
                <w:sz w:val="24"/>
                <w:szCs w:val="24"/>
              </w:rPr>
              <w:t>Middle</w:t>
            </w:r>
          </w:p>
        </w:tc>
        <w:tc>
          <w:tcPr>
            <w:tcW w:w="1156" w:type="pct"/>
            <w:noWrap/>
            <w:vAlign w:val="center"/>
            <w:hideMark/>
          </w:tcPr>
          <w:p w14:paraId="2B936796" w14:textId="77777777" w:rsidR="00145791" w:rsidRPr="00903BCB" w:rsidRDefault="00145791" w:rsidP="00145791">
            <w:pPr>
              <w:ind w:left="0" w:right="0"/>
              <w:jc w:val="left"/>
              <w:rPr>
                <w:sz w:val="24"/>
                <w:szCs w:val="24"/>
              </w:rPr>
            </w:pPr>
            <w:r w:rsidRPr="00903BCB">
              <w:rPr>
                <w:sz w:val="24"/>
                <w:szCs w:val="24"/>
              </w:rPr>
              <w:t>Amman</w:t>
            </w:r>
          </w:p>
        </w:tc>
        <w:tc>
          <w:tcPr>
            <w:tcW w:w="1029" w:type="pct"/>
            <w:noWrap/>
            <w:vAlign w:val="center"/>
            <w:hideMark/>
          </w:tcPr>
          <w:p w14:paraId="50F9A8DA" w14:textId="77777777" w:rsidR="00145791" w:rsidRPr="00903BCB" w:rsidRDefault="00145791" w:rsidP="0066534D">
            <w:pPr>
              <w:ind w:left="0" w:right="0"/>
              <w:jc w:val="right"/>
              <w:rPr>
                <w:sz w:val="24"/>
                <w:szCs w:val="24"/>
              </w:rPr>
            </w:pPr>
            <w:r w:rsidRPr="00903BCB">
              <w:rPr>
                <w:sz w:val="24"/>
                <w:szCs w:val="24"/>
              </w:rPr>
              <w:t>2,367,000</w:t>
            </w:r>
          </w:p>
        </w:tc>
        <w:tc>
          <w:tcPr>
            <w:tcW w:w="1062" w:type="pct"/>
            <w:noWrap/>
            <w:vAlign w:val="center"/>
            <w:hideMark/>
          </w:tcPr>
          <w:p w14:paraId="14CF985A" w14:textId="77777777" w:rsidR="00145791" w:rsidRPr="00903BCB" w:rsidRDefault="00145791" w:rsidP="0066534D">
            <w:pPr>
              <w:ind w:left="0" w:right="0"/>
              <w:jc w:val="right"/>
              <w:rPr>
                <w:sz w:val="24"/>
                <w:szCs w:val="24"/>
              </w:rPr>
            </w:pPr>
            <w:r w:rsidRPr="00903BCB">
              <w:rPr>
                <w:sz w:val="24"/>
                <w:szCs w:val="24"/>
              </w:rPr>
              <w:t>7,579</w:t>
            </w:r>
          </w:p>
        </w:tc>
        <w:tc>
          <w:tcPr>
            <w:tcW w:w="991" w:type="pct"/>
            <w:noWrap/>
            <w:vAlign w:val="center"/>
            <w:hideMark/>
          </w:tcPr>
          <w:p w14:paraId="7B147069" w14:textId="77777777" w:rsidR="00145791" w:rsidRPr="00903BCB" w:rsidRDefault="00145791" w:rsidP="0066534D">
            <w:pPr>
              <w:ind w:left="0" w:right="0"/>
              <w:jc w:val="right"/>
              <w:rPr>
                <w:sz w:val="24"/>
                <w:szCs w:val="24"/>
              </w:rPr>
            </w:pPr>
            <w:r w:rsidRPr="00903BCB">
              <w:rPr>
                <w:sz w:val="24"/>
                <w:szCs w:val="24"/>
              </w:rPr>
              <w:t>306</w:t>
            </w:r>
          </w:p>
        </w:tc>
      </w:tr>
      <w:tr w:rsidR="00CA50FE" w:rsidRPr="00903BCB" w14:paraId="39D3981E" w14:textId="77777777" w:rsidTr="00CA50FE">
        <w:trPr>
          <w:jc w:val="center"/>
        </w:trPr>
        <w:tc>
          <w:tcPr>
            <w:tcW w:w="760" w:type="pct"/>
            <w:noWrap/>
            <w:vAlign w:val="center"/>
            <w:hideMark/>
          </w:tcPr>
          <w:p w14:paraId="00D85366" w14:textId="77777777" w:rsidR="00145791" w:rsidRPr="00903BCB" w:rsidRDefault="00145791" w:rsidP="00145791">
            <w:pPr>
              <w:ind w:left="0" w:right="0"/>
              <w:jc w:val="left"/>
              <w:rPr>
                <w:sz w:val="24"/>
                <w:szCs w:val="24"/>
              </w:rPr>
            </w:pPr>
          </w:p>
        </w:tc>
        <w:tc>
          <w:tcPr>
            <w:tcW w:w="1156" w:type="pct"/>
            <w:noWrap/>
            <w:vAlign w:val="center"/>
            <w:hideMark/>
          </w:tcPr>
          <w:p w14:paraId="06041AC5" w14:textId="77777777" w:rsidR="00145791" w:rsidRPr="00903BCB" w:rsidRDefault="00145791" w:rsidP="00145791">
            <w:pPr>
              <w:ind w:left="0" w:right="0"/>
              <w:jc w:val="left"/>
              <w:rPr>
                <w:sz w:val="24"/>
                <w:szCs w:val="24"/>
              </w:rPr>
            </w:pPr>
            <w:r w:rsidRPr="00903BCB">
              <w:rPr>
                <w:sz w:val="24"/>
                <w:szCs w:val="24"/>
              </w:rPr>
              <w:t>Balqa</w:t>
            </w:r>
          </w:p>
        </w:tc>
        <w:tc>
          <w:tcPr>
            <w:tcW w:w="1029" w:type="pct"/>
            <w:noWrap/>
            <w:vAlign w:val="center"/>
            <w:hideMark/>
          </w:tcPr>
          <w:p w14:paraId="66839935" w14:textId="77777777" w:rsidR="00145791" w:rsidRPr="00903BCB" w:rsidRDefault="00145791" w:rsidP="0066534D">
            <w:pPr>
              <w:ind w:left="0" w:right="0"/>
              <w:jc w:val="right"/>
              <w:rPr>
                <w:sz w:val="24"/>
                <w:szCs w:val="24"/>
              </w:rPr>
            </w:pPr>
            <w:r w:rsidRPr="00903BCB">
              <w:rPr>
                <w:sz w:val="24"/>
                <w:szCs w:val="24"/>
              </w:rPr>
              <w:t>409,500</w:t>
            </w:r>
          </w:p>
        </w:tc>
        <w:tc>
          <w:tcPr>
            <w:tcW w:w="1062" w:type="pct"/>
            <w:noWrap/>
            <w:vAlign w:val="center"/>
            <w:hideMark/>
          </w:tcPr>
          <w:p w14:paraId="619980F1" w14:textId="77777777" w:rsidR="00145791" w:rsidRPr="00903BCB" w:rsidRDefault="00145791" w:rsidP="0066534D">
            <w:pPr>
              <w:ind w:left="0" w:right="0"/>
              <w:jc w:val="right"/>
              <w:rPr>
                <w:sz w:val="24"/>
                <w:szCs w:val="24"/>
              </w:rPr>
            </w:pPr>
            <w:r w:rsidRPr="00903BCB">
              <w:rPr>
                <w:sz w:val="24"/>
                <w:szCs w:val="24"/>
              </w:rPr>
              <w:t>1,119</w:t>
            </w:r>
          </w:p>
        </w:tc>
        <w:tc>
          <w:tcPr>
            <w:tcW w:w="991" w:type="pct"/>
            <w:noWrap/>
            <w:vAlign w:val="center"/>
            <w:hideMark/>
          </w:tcPr>
          <w:p w14:paraId="58F493B6" w14:textId="77777777" w:rsidR="00145791" w:rsidRPr="00903BCB" w:rsidRDefault="00145791" w:rsidP="0066534D">
            <w:pPr>
              <w:ind w:left="0" w:right="0"/>
              <w:jc w:val="right"/>
              <w:rPr>
                <w:sz w:val="24"/>
                <w:szCs w:val="24"/>
              </w:rPr>
            </w:pPr>
            <w:r w:rsidRPr="00903BCB">
              <w:rPr>
                <w:sz w:val="24"/>
                <w:szCs w:val="24"/>
              </w:rPr>
              <w:t>358</w:t>
            </w:r>
          </w:p>
        </w:tc>
      </w:tr>
      <w:tr w:rsidR="00CA50FE" w:rsidRPr="00903BCB" w14:paraId="21FB298B" w14:textId="77777777" w:rsidTr="00CA50FE">
        <w:trPr>
          <w:jc w:val="center"/>
        </w:trPr>
        <w:tc>
          <w:tcPr>
            <w:tcW w:w="760" w:type="pct"/>
            <w:noWrap/>
            <w:vAlign w:val="center"/>
            <w:hideMark/>
          </w:tcPr>
          <w:p w14:paraId="057F7910" w14:textId="77777777" w:rsidR="00145791" w:rsidRPr="00903BCB" w:rsidRDefault="00145791" w:rsidP="00145791">
            <w:pPr>
              <w:ind w:left="0" w:right="0"/>
              <w:jc w:val="left"/>
              <w:rPr>
                <w:sz w:val="24"/>
                <w:szCs w:val="24"/>
              </w:rPr>
            </w:pPr>
          </w:p>
        </w:tc>
        <w:tc>
          <w:tcPr>
            <w:tcW w:w="1156" w:type="pct"/>
            <w:noWrap/>
            <w:vAlign w:val="center"/>
            <w:hideMark/>
          </w:tcPr>
          <w:p w14:paraId="06541D34" w14:textId="77777777" w:rsidR="00145791" w:rsidRPr="00903BCB" w:rsidRDefault="00145791" w:rsidP="00145791">
            <w:pPr>
              <w:ind w:left="0" w:right="0"/>
              <w:jc w:val="left"/>
              <w:rPr>
                <w:sz w:val="24"/>
                <w:szCs w:val="24"/>
              </w:rPr>
            </w:pPr>
            <w:r w:rsidRPr="00903BCB">
              <w:rPr>
                <w:sz w:val="24"/>
                <w:szCs w:val="24"/>
              </w:rPr>
              <w:t>Zarqa</w:t>
            </w:r>
          </w:p>
        </w:tc>
        <w:tc>
          <w:tcPr>
            <w:tcW w:w="1029" w:type="pct"/>
            <w:noWrap/>
            <w:vAlign w:val="center"/>
            <w:hideMark/>
          </w:tcPr>
          <w:p w14:paraId="63F104D1" w14:textId="77777777" w:rsidR="00145791" w:rsidRPr="00903BCB" w:rsidRDefault="00145791" w:rsidP="0066534D">
            <w:pPr>
              <w:ind w:left="0" w:right="0"/>
              <w:jc w:val="right"/>
              <w:rPr>
                <w:sz w:val="24"/>
                <w:szCs w:val="24"/>
              </w:rPr>
            </w:pPr>
            <w:r w:rsidRPr="00903BCB">
              <w:rPr>
                <w:sz w:val="24"/>
                <w:szCs w:val="24"/>
              </w:rPr>
              <w:t>910,800</w:t>
            </w:r>
          </w:p>
        </w:tc>
        <w:tc>
          <w:tcPr>
            <w:tcW w:w="1062" w:type="pct"/>
            <w:noWrap/>
            <w:vAlign w:val="center"/>
            <w:hideMark/>
          </w:tcPr>
          <w:p w14:paraId="3052B738" w14:textId="77777777" w:rsidR="00145791" w:rsidRPr="00903BCB" w:rsidRDefault="00145791" w:rsidP="0066534D">
            <w:pPr>
              <w:ind w:left="0" w:right="0"/>
              <w:jc w:val="right"/>
              <w:rPr>
                <w:sz w:val="24"/>
                <w:szCs w:val="24"/>
              </w:rPr>
            </w:pPr>
            <w:r w:rsidRPr="00903BCB">
              <w:rPr>
                <w:sz w:val="24"/>
                <w:szCs w:val="24"/>
              </w:rPr>
              <w:t>4,761</w:t>
            </w:r>
          </w:p>
        </w:tc>
        <w:tc>
          <w:tcPr>
            <w:tcW w:w="991" w:type="pct"/>
            <w:noWrap/>
            <w:vAlign w:val="center"/>
            <w:hideMark/>
          </w:tcPr>
          <w:p w14:paraId="704BAB65" w14:textId="77777777" w:rsidR="00145791" w:rsidRPr="00903BCB" w:rsidRDefault="00145791" w:rsidP="0066534D">
            <w:pPr>
              <w:ind w:left="0" w:right="0"/>
              <w:jc w:val="right"/>
              <w:rPr>
                <w:sz w:val="24"/>
                <w:szCs w:val="24"/>
              </w:rPr>
            </w:pPr>
            <w:r w:rsidRPr="00903BCB">
              <w:rPr>
                <w:sz w:val="24"/>
                <w:szCs w:val="24"/>
              </w:rPr>
              <w:t>187</w:t>
            </w:r>
          </w:p>
        </w:tc>
      </w:tr>
      <w:tr w:rsidR="00CA50FE" w:rsidRPr="00903BCB" w14:paraId="2A541B3A" w14:textId="77777777" w:rsidTr="00CA50FE">
        <w:trPr>
          <w:jc w:val="center"/>
        </w:trPr>
        <w:tc>
          <w:tcPr>
            <w:tcW w:w="760" w:type="pct"/>
            <w:noWrap/>
            <w:vAlign w:val="center"/>
            <w:hideMark/>
          </w:tcPr>
          <w:p w14:paraId="3B758A0B" w14:textId="77777777" w:rsidR="00145791" w:rsidRPr="00903BCB" w:rsidRDefault="00145791" w:rsidP="00145791">
            <w:pPr>
              <w:ind w:left="0" w:right="0"/>
              <w:jc w:val="left"/>
              <w:rPr>
                <w:sz w:val="24"/>
                <w:szCs w:val="24"/>
              </w:rPr>
            </w:pPr>
          </w:p>
        </w:tc>
        <w:tc>
          <w:tcPr>
            <w:tcW w:w="1156" w:type="pct"/>
            <w:noWrap/>
            <w:vAlign w:val="center"/>
            <w:hideMark/>
          </w:tcPr>
          <w:p w14:paraId="273DABF4" w14:textId="77777777" w:rsidR="00145791" w:rsidRPr="00903BCB" w:rsidRDefault="00145791" w:rsidP="00145791">
            <w:pPr>
              <w:ind w:left="0" w:right="0"/>
              <w:jc w:val="left"/>
              <w:rPr>
                <w:sz w:val="24"/>
                <w:szCs w:val="24"/>
              </w:rPr>
            </w:pPr>
            <w:r w:rsidRPr="00903BCB">
              <w:rPr>
                <w:sz w:val="24"/>
                <w:szCs w:val="24"/>
              </w:rPr>
              <w:t>Madaba</w:t>
            </w:r>
          </w:p>
        </w:tc>
        <w:tc>
          <w:tcPr>
            <w:tcW w:w="1029" w:type="pct"/>
            <w:noWrap/>
            <w:vAlign w:val="center"/>
            <w:hideMark/>
          </w:tcPr>
          <w:p w14:paraId="03FA6EF6" w14:textId="77777777" w:rsidR="00145791" w:rsidRPr="00903BCB" w:rsidRDefault="00145791" w:rsidP="0066534D">
            <w:pPr>
              <w:ind w:left="0" w:right="0"/>
              <w:jc w:val="right"/>
              <w:rPr>
                <w:sz w:val="24"/>
                <w:szCs w:val="24"/>
              </w:rPr>
            </w:pPr>
            <w:r w:rsidRPr="00903BCB">
              <w:rPr>
                <w:sz w:val="24"/>
                <w:szCs w:val="24"/>
              </w:rPr>
              <w:t>152,900</w:t>
            </w:r>
          </w:p>
        </w:tc>
        <w:tc>
          <w:tcPr>
            <w:tcW w:w="1062" w:type="pct"/>
            <w:noWrap/>
            <w:vAlign w:val="center"/>
            <w:hideMark/>
          </w:tcPr>
          <w:p w14:paraId="397F7323" w14:textId="77777777" w:rsidR="00145791" w:rsidRPr="00903BCB" w:rsidRDefault="00145791" w:rsidP="0066534D">
            <w:pPr>
              <w:ind w:left="0" w:right="0"/>
              <w:jc w:val="right"/>
              <w:rPr>
                <w:sz w:val="24"/>
                <w:szCs w:val="24"/>
              </w:rPr>
            </w:pPr>
            <w:r w:rsidRPr="00903BCB">
              <w:rPr>
                <w:sz w:val="24"/>
                <w:szCs w:val="24"/>
              </w:rPr>
              <w:t>940</w:t>
            </w:r>
          </w:p>
        </w:tc>
        <w:tc>
          <w:tcPr>
            <w:tcW w:w="991" w:type="pct"/>
            <w:noWrap/>
            <w:vAlign w:val="center"/>
            <w:hideMark/>
          </w:tcPr>
          <w:p w14:paraId="6970E027" w14:textId="77777777" w:rsidR="00145791" w:rsidRPr="00903BCB" w:rsidRDefault="00145791" w:rsidP="0066534D">
            <w:pPr>
              <w:ind w:left="0" w:right="0"/>
              <w:jc w:val="right"/>
              <w:rPr>
                <w:sz w:val="24"/>
                <w:szCs w:val="24"/>
              </w:rPr>
            </w:pPr>
            <w:r w:rsidRPr="00903BCB">
              <w:rPr>
                <w:sz w:val="24"/>
                <w:szCs w:val="24"/>
              </w:rPr>
              <w:t>159</w:t>
            </w:r>
          </w:p>
        </w:tc>
      </w:tr>
      <w:tr w:rsidR="00CA50FE" w:rsidRPr="00903BCB" w14:paraId="32ACBD71" w14:textId="77777777" w:rsidTr="00CA50FE">
        <w:trPr>
          <w:jc w:val="center"/>
        </w:trPr>
        <w:tc>
          <w:tcPr>
            <w:tcW w:w="760" w:type="pct"/>
            <w:noWrap/>
            <w:vAlign w:val="center"/>
            <w:hideMark/>
          </w:tcPr>
          <w:p w14:paraId="77A5387D" w14:textId="77777777" w:rsidR="00145791" w:rsidRPr="00903BCB" w:rsidRDefault="00145791" w:rsidP="00145791">
            <w:pPr>
              <w:ind w:left="0" w:right="0"/>
              <w:jc w:val="left"/>
              <w:rPr>
                <w:sz w:val="24"/>
                <w:szCs w:val="24"/>
              </w:rPr>
            </w:pPr>
            <w:r w:rsidRPr="00903BCB">
              <w:rPr>
                <w:sz w:val="24"/>
                <w:szCs w:val="24"/>
              </w:rPr>
              <w:t>South</w:t>
            </w:r>
          </w:p>
        </w:tc>
        <w:tc>
          <w:tcPr>
            <w:tcW w:w="1156" w:type="pct"/>
            <w:noWrap/>
            <w:vAlign w:val="center"/>
            <w:hideMark/>
          </w:tcPr>
          <w:p w14:paraId="18750B00" w14:textId="77777777" w:rsidR="00145791" w:rsidRPr="00903BCB" w:rsidRDefault="00145791" w:rsidP="00145791">
            <w:pPr>
              <w:ind w:left="0" w:right="0"/>
              <w:jc w:val="left"/>
              <w:rPr>
                <w:sz w:val="24"/>
                <w:szCs w:val="24"/>
              </w:rPr>
            </w:pPr>
            <w:r w:rsidRPr="00903BCB">
              <w:rPr>
                <w:sz w:val="24"/>
                <w:szCs w:val="24"/>
              </w:rPr>
              <w:t>Karak</w:t>
            </w:r>
          </w:p>
        </w:tc>
        <w:tc>
          <w:tcPr>
            <w:tcW w:w="1029" w:type="pct"/>
            <w:noWrap/>
            <w:vAlign w:val="center"/>
            <w:hideMark/>
          </w:tcPr>
          <w:p w14:paraId="5D33AE94" w14:textId="77777777" w:rsidR="00145791" w:rsidRPr="00903BCB" w:rsidRDefault="00145791" w:rsidP="0066534D">
            <w:pPr>
              <w:ind w:left="0" w:right="0"/>
              <w:jc w:val="right"/>
              <w:rPr>
                <w:sz w:val="24"/>
                <w:szCs w:val="24"/>
              </w:rPr>
            </w:pPr>
            <w:r w:rsidRPr="00903BCB">
              <w:rPr>
                <w:sz w:val="24"/>
                <w:szCs w:val="24"/>
              </w:rPr>
              <w:t>238,400</w:t>
            </w:r>
          </w:p>
        </w:tc>
        <w:tc>
          <w:tcPr>
            <w:tcW w:w="1062" w:type="pct"/>
            <w:noWrap/>
            <w:vAlign w:val="center"/>
            <w:hideMark/>
          </w:tcPr>
          <w:p w14:paraId="22BD4AB8" w14:textId="77777777" w:rsidR="00145791" w:rsidRPr="00903BCB" w:rsidRDefault="00145791" w:rsidP="0066534D">
            <w:pPr>
              <w:ind w:left="0" w:right="0"/>
              <w:jc w:val="right"/>
              <w:rPr>
                <w:sz w:val="24"/>
                <w:szCs w:val="24"/>
              </w:rPr>
            </w:pPr>
            <w:r w:rsidRPr="00903BCB">
              <w:rPr>
                <w:sz w:val="24"/>
                <w:szCs w:val="24"/>
              </w:rPr>
              <w:t>3,495</w:t>
            </w:r>
          </w:p>
        </w:tc>
        <w:tc>
          <w:tcPr>
            <w:tcW w:w="991" w:type="pct"/>
            <w:noWrap/>
            <w:vAlign w:val="center"/>
            <w:hideMark/>
          </w:tcPr>
          <w:p w14:paraId="52E83E59" w14:textId="77777777" w:rsidR="00145791" w:rsidRPr="00903BCB" w:rsidRDefault="00145791" w:rsidP="0066534D">
            <w:pPr>
              <w:ind w:left="0" w:right="0"/>
              <w:jc w:val="right"/>
              <w:rPr>
                <w:sz w:val="24"/>
                <w:szCs w:val="24"/>
              </w:rPr>
            </w:pPr>
            <w:r w:rsidRPr="00903BCB">
              <w:rPr>
                <w:sz w:val="24"/>
                <w:szCs w:val="24"/>
              </w:rPr>
              <w:t>67</w:t>
            </w:r>
          </w:p>
        </w:tc>
      </w:tr>
      <w:tr w:rsidR="00CA50FE" w:rsidRPr="00903BCB" w14:paraId="4A6D6199" w14:textId="77777777" w:rsidTr="00CA50FE">
        <w:trPr>
          <w:jc w:val="center"/>
        </w:trPr>
        <w:tc>
          <w:tcPr>
            <w:tcW w:w="760" w:type="pct"/>
            <w:noWrap/>
            <w:vAlign w:val="center"/>
            <w:hideMark/>
          </w:tcPr>
          <w:p w14:paraId="27EC5B1D" w14:textId="77777777" w:rsidR="00145791" w:rsidRPr="00903BCB" w:rsidRDefault="00145791" w:rsidP="00145791">
            <w:pPr>
              <w:ind w:left="0" w:right="0"/>
              <w:jc w:val="left"/>
              <w:rPr>
                <w:sz w:val="24"/>
                <w:szCs w:val="24"/>
              </w:rPr>
            </w:pPr>
          </w:p>
        </w:tc>
        <w:tc>
          <w:tcPr>
            <w:tcW w:w="1156" w:type="pct"/>
            <w:noWrap/>
            <w:vAlign w:val="center"/>
            <w:hideMark/>
          </w:tcPr>
          <w:p w14:paraId="317030D1" w14:textId="77777777" w:rsidR="00145791" w:rsidRPr="00903BCB" w:rsidRDefault="00145791" w:rsidP="00145791">
            <w:pPr>
              <w:ind w:left="0" w:right="0"/>
              <w:jc w:val="left"/>
              <w:rPr>
                <w:sz w:val="24"/>
                <w:szCs w:val="24"/>
              </w:rPr>
            </w:pPr>
            <w:r w:rsidRPr="00903BCB">
              <w:rPr>
                <w:sz w:val="24"/>
                <w:szCs w:val="24"/>
              </w:rPr>
              <w:t>Tafilah</w:t>
            </w:r>
          </w:p>
        </w:tc>
        <w:tc>
          <w:tcPr>
            <w:tcW w:w="1029" w:type="pct"/>
            <w:noWrap/>
            <w:vAlign w:val="center"/>
            <w:hideMark/>
          </w:tcPr>
          <w:p w14:paraId="380D8E21" w14:textId="77777777" w:rsidR="00145791" w:rsidRPr="00903BCB" w:rsidRDefault="00145791" w:rsidP="0066534D">
            <w:pPr>
              <w:ind w:left="0" w:right="0"/>
              <w:jc w:val="right"/>
              <w:rPr>
                <w:sz w:val="24"/>
                <w:szCs w:val="24"/>
              </w:rPr>
            </w:pPr>
            <w:r w:rsidRPr="00903BCB">
              <w:rPr>
                <w:sz w:val="24"/>
                <w:szCs w:val="24"/>
              </w:rPr>
              <w:t>85,600</w:t>
            </w:r>
          </w:p>
        </w:tc>
        <w:tc>
          <w:tcPr>
            <w:tcW w:w="1062" w:type="pct"/>
            <w:noWrap/>
            <w:vAlign w:val="center"/>
            <w:hideMark/>
          </w:tcPr>
          <w:p w14:paraId="7B125769" w14:textId="77777777" w:rsidR="00145791" w:rsidRPr="00903BCB" w:rsidRDefault="00145791" w:rsidP="0066534D">
            <w:pPr>
              <w:ind w:left="0" w:right="0"/>
              <w:jc w:val="right"/>
              <w:rPr>
                <w:sz w:val="24"/>
                <w:szCs w:val="24"/>
              </w:rPr>
            </w:pPr>
            <w:r w:rsidRPr="00903BCB">
              <w:rPr>
                <w:sz w:val="24"/>
                <w:szCs w:val="24"/>
              </w:rPr>
              <w:t>2,209</w:t>
            </w:r>
          </w:p>
        </w:tc>
        <w:tc>
          <w:tcPr>
            <w:tcW w:w="991" w:type="pct"/>
            <w:noWrap/>
            <w:vAlign w:val="center"/>
            <w:hideMark/>
          </w:tcPr>
          <w:p w14:paraId="09B045AB" w14:textId="77777777" w:rsidR="00145791" w:rsidRPr="00903BCB" w:rsidRDefault="00145791" w:rsidP="0066534D">
            <w:pPr>
              <w:ind w:left="0" w:right="0"/>
              <w:jc w:val="right"/>
              <w:rPr>
                <w:sz w:val="24"/>
                <w:szCs w:val="24"/>
              </w:rPr>
            </w:pPr>
            <w:r w:rsidRPr="00903BCB">
              <w:rPr>
                <w:sz w:val="24"/>
                <w:szCs w:val="24"/>
              </w:rPr>
              <w:t>38</w:t>
            </w:r>
          </w:p>
        </w:tc>
      </w:tr>
      <w:tr w:rsidR="00CA50FE" w:rsidRPr="00903BCB" w14:paraId="467D2502" w14:textId="77777777" w:rsidTr="00CA50FE">
        <w:trPr>
          <w:jc w:val="center"/>
        </w:trPr>
        <w:tc>
          <w:tcPr>
            <w:tcW w:w="760" w:type="pct"/>
            <w:noWrap/>
            <w:vAlign w:val="center"/>
            <w:hideMark/>
          </w:tcPr>
          <w:p w14:paraId="6146186D" w14:textId="77777777" w:rsidR="00145791" w:rsidRPr="00903BCB" w:rsidRDefault="00145791" w:rsidP="00145791">
            <w:pPr>
              <w:ind w:left="0" w:right="0"/>
              <w:jc w:val="left"/>
              <w:rPr>
                <w:sz w:val="24"/>
                <w:szCs w:val="24"/>
              </w:rPr>
            </w:pPr>
          </w:p>
        </w:tc>
        <w:tc>
          <w:tcPr>
            <w:tcW w:w="1156" w:type="pct"/>
            <w:noWrap/>
            <w:vAlign w:val="center"/>
            <w:hideMark/>
          </w:tcPr>
          <w:p w14:paraId="5923F260" w14:textId="77777777" w:rsidR="00145791" w:rsidRPr="00903BCB" w:rsidRDefault="00145791" w:rsidP="00145791">
            <w:pPr>
              <w:ind w:left="0" w:right="0"/>
              <w:jc w:val="left"/>
              <w:rPr>
                <w:sz w:val="24"/>
                <w:szCs w:val="24"/>
              </w:rPr>
            </w:pPr>
            <w:r w:rsidRPr="00903BCB">
              <w:rPr>
                <w:sz w:val="24"/>
                <w:szCs w:val="24"/>
              </w:rPr>
              <w:t>Ma'an</w:t>
            </w:r>
          </w:p>
        </w:tc>
        <w:tc>
          <w:tcPr>
            <w:tcW w:w="1029" w:type="pct"/>
            <w:noWrap/>
            <w:vAlign w:val="center"/>
            <w:hideMark/>
          </w:tcPr>
          <w:p w14:paraId="5316327A" w14:textId="77777777" w:rsidR="00145791" w:rsidRPr="00903BCB" w:rsidRDefault="00145791" w:rsidP="0066534D">
            <w:pPr>
              <w:ind w:left="0" w:right="0"/>
              <w:jc w:val="right"/>
              <w:rPr>
                <w:sz w:val="24"/>
                <w:szCs w:val="24"/>
              </w:rPr>
            </w:pPr>
            <w:r w:rsidRPr="00903BCB">
              <w:rPr>
                <w:sz w:val="24"/>
                <w:szCs w:val="24"/>
              </w:rPr>
              <w:t>116,200</w:t>
            </w:r>
          </w:p>
        </w:tc>
        <w:tc>
          <w:tcPr>
            <w:tcW w:w="1062" w:type="pct"/>
            <w:noWrap/>
            <w:vAlign w:val="center"/>
            <w:hideMark/>
          </w:tcPr>
          <w:p w14:paraId="159B57DA" w14:textId="77777777" w:rsidR="00145791" w:rsidRPr="00903BCB" w:rsidRDefault="00145791" w:rsidP="0066534D">
            <w:pPr>
              <w:ind w:left="0" w:right="0"/>
              <w:jc w:val="right"/>
              <w:rPr>
                <w:sz w:val="24"/>
                <w:szCs w:val="24"/>
              </w:rPr>
            </w:pPr>
            <w:r w:rsidRPr="00903BCB">
              <w:rPr>
                <w:sz w:val="24"/>
                <w:szCs w:val="24"/>
              </w:rPr>
              <w:t>32,832</w:t>
            </w:r>
          </w:p>
        </w:tc>
        <w:tc>
          <w:tcPr>
            <w:tcW w:w="991" w:type="pct"/>
            <w:noWrap/>
            <w:vAlign w:val="center"/>
            <w:hideMark/>
          </w:tcPr>
          <w:p w14:paraId="0385FE65" w14:textId="77777777" w:rsidR="00145791" w:rsidRPr="00903BCB" w:rsidRDefault="00145791" w:rsidP="0066534D">
            <w:pPr>
              <w:ind w:left="0" w:right="0"/>
              <w:jc w:val="right"/>
              <w:rPr>
                <w:sz w:val="24"/>
                <w:szCs w:val="24"/>
              </w:rPr>
            </w:pPr>
            <w:r w:rsidRPr="00903BCB">
              <w:rPr>
                <w:sz w:val="24"/>
                <w:szCs w:val="24"/>
              </w:rPr>
              <w:t>3</w:t>
            </w:r>
          </w:p>
        </w:tc>
      </w:tr>
      <w:tr w:rsidR="00CA50FE" w:rsidRPr="00903BCB" w14:paraId="56D54AAB" w14:textId="77777777" w:rsidTr="00CA50FE">
        <w:trPr>
          <w:jc w:val="center"/>
        </w:trPr>
        <w:tc>
          <w:tcPr>
            <w:tcW w:w="760" w:type="pct"/>
            <w:noWrap/>
            <w:vAlign w:val="center"/>
            <w:hideMark/>
          </w:tcPr>
          <w:p w14:paraId="4A01A008" w14:textId="77777777" w:rsidR="00145791" w:rsidRPr="00903BCB" w:rsidRDefault="00145791" w:rsidP="00145791">
            <w:pPr>
              <w:ind w:left="0" w:right="0"/>
              <w:jc w:val="left"/>
              <w:rPr>
                <w:sz w:val="24"/>
                <w:szCs w:val="24"/>
              </w:rPr>
            </w:pPr>
          </w:p>
        </w:tc>
        <w:tc>
          <w:tcPr>
            <w:tcW w:w="1156" w:type="pct"/>
            <w:noWrap/>
            <w:vAlign w:val="center"/>
            <w:hideMark/>
          </w:tcPr>
          <w:p w14:paraId="3B6538BC" w14:textId="77777777" w:rsidR="00145791" w:rsidRPr="00903BCB" w:rsidRDefault="00145791" w:rsidP="00145791">
            <w:pPr>
              <w:ind w:left="0" w:right="0"/>
              <w:jc w:val="left"/>
              <w:rPr>
                <w:sz w:val="24"/>
                <w:szCs w:val="24"/>
              </w:rPr>
            </w:pPr>
            <w:r w:rsidRPr="00903BCB">
              <w:rPr>
                <w:sz w:val="24"/>
                <w:szCs w:val="24"/>
              </w:rPr>
              <w:t>Aqaba</w:t>
            </w:r>
          </w:p>
        </w:tc>
        <w:tc>
          <w:tcPr>
            <w:tcW w:w="1029" w:type="pct"/>
            <w:noWrap/>
            <w:vAlign w:val="center"/>
            <w:hideMark/>
          </w:tcPr>
          <w:p w14:paraId="353E585E" w14:textId="77777777" w:rsidR="00145791" w:rsidRPr="00903BCB" w:rsidRDefault="00145791" w:rsidP="0066534D">
            <w:pPr>
              <w:ind w:left="0" w:right="0"/>
              <w:jc w:val="right"/>
              <w:rPr>
                <w:sz w:val="24"/>
                <w:szCs w:val="24"/>
              </w:rPr>
            </w:pPr>
            <w:r w:rsidRPr="00903BCB">
              <w:rPr>
                <w:sz w:val="24"/>
                <w:szCs w:val="24"/>
              </w:rPr>
              <w:t>133,200</w:t>
            </w:r>
          </w:p>
        </w:tc>
        <w:tc>
          <w:tcPr>
            <w:tcW w:w="1062" w:type="pct"/>
            <w:noWrap/>
            <w:vAlign w:val="center"/>
            <w:hideMark/>
          </w:tcPr>
          <w:p w14:paraId="33D0E059" w14:textId="77777777" w:rsidR="00145791" w:rsidRPr="00903BCB" w:rsidRDefault="00145791" w:rsidP="0066534D">
            <w:pPr>
              <w:ind w:left="0" w:right="0"/>
              <w:jc w:val="right"/>
              <w:rPr>
                <w:sz w:val="24"/>
                <w:szCs w:val="24"/>
              </w:rPr>
            </w:pPr>
            <w:r w:rsidRPr="00903BCB">
              <w:rPr>
                <w:sz w:val="24"/>
                <w:szCs w:val="24"/>
              </w:rPr>
              <w:t>6,900</w:t>
            </w:r>
          </w:p>
        </w:tc>
        <w:tc>
          <w:tcPr>
            <w:tcW w:w="991" w:type="pct"/>
            <w:noWrap/>
            <w:vAlign w:val="center"/>
            <w:hideMark/>
          </w:tcPr>
          <w:p w14:paraId="6F3B73C5" w14:textId="77777777" w:rsidR="00145791" w:rsidRPr="00903BCB" w:rsidRDefault="00145791" w:rsidP="0066534D">
            <w:pPr>
              <w:ind w:left="0" w:right="0"/>
              <w:jc w:val="right"/>
              <w:rPr>
                <w:sz w:val="24"/>
                <w:szCs w:val="24"/>
              </w:rPr>
            </w:pPr>
            <w:r w:rsidRPr="00903BCB">
              <w:rPr>
                <w:sz w:val="24"/>
                <w:szCs w:val="24"/>
              </w:rPr>
              <w:t>19</w:t>
            </w:r>
          </w:p>
        </w:tc>
      </w:tr>
      <w:tr w:rsidR="00CA50FE" w:rsidRPr="00903BCB" w14:paraId="2581D611" w14:textId="77777777" w:rsidTr="00CA50FE">
        <w:trPr>
          <w:jc w:val="center"/>
        </w:trPr>
        <w:tc>
          <w:tcPr>
            <w:tcW w:w="760" w:type="pct"/>
            <w:shd w:val="clear" w:color="auto" w:fill="auto"/>
            <w:noWrap/>
            <w:vAlign w:val="center"/>
            <w:hideMark/>
          </w:tcPr>
          <w:p w14:paraId="4F9E76EF" w14:textId="77777777" w:rsidR="00CA50FE" w:rsidRPr="00903BCB" w:rsidRDefault="00CA50FE" w:rsidP="00CA50FE">
            <w:pPr>
              <w:ind w:left="0" w:right="0"/>
              <w:jc w:val="left"/>
              <w:rPr>
                <w:b/>
                <w:bCs/>
                <w:sz w:val="24"/>
                <w:szCs w:val="24"/>
              </w:rPr>
            </w:pPr>
            <w:r w:rsidRPr="00903BCB">
              <w:rPr>
                <w:b/>
                <w:bCs/>
                <w:sz w:val="24"/>
                <w:szCs w:val="24"/>
              </w:rPr>
              <w:t>Jordan</w:t>
            </w:r>
          </w:p>
        </w:tc>
        <w:tc>
          <w:tcPr>
            <w:tcW w:w="1156" w:type="pct"/>
            <w:shd w:val="clear" w:color="auto" w:fill="auto"/>
            <w:noWrap/>
            <w:vAlign w:val="center"/>
            <w:hideMark/>
          </w:tcPr>
          <w:p w14:paraId="0D458F7C" w14:textId="77777777" w:rsidR="00CA50FE" w:rsidRPr="00903BCB" w:rsidRDefault="00CA50FE" w:rsidP="00CA50FE">
            <w:pPr>
              <w:ind w:left="0" w:right="0"/>
              <w:jc w:val="right"/>
              <w:rPr>
                <w:b/>
                <w:sz w:val="24"/>
                <w:szCs w:val="24"/>
              </w:rPr>
            </w:pPr>
          </w:p>
        </w:tc>
        <w:tc>
          <w:tcPr>
            <w:tcW w:w="1029" w:type="pct"/>
            <w:shd w:val="clear" w:color="auto" w:fill="auto"/>
            <w:noWrap/>
            <w:vAlign w:val="center"/>
            <w:hideMark/>
          </w:tcPr>
          <w:p w14:paraId="409E47A9" w14:textId="77777777" w:rsidR="00CA50FE" w:rsidRPr="00903BCB" w:rsidRDefault="00CA50FE" w:rsidP="00CA50FE">
            <w:pPr>
              <w:ind w:left="0" w:right="0"/>
              <w:jc w:val="right"/>
              <w:rPr>
                <w:b/>
                <w:bCs/>
                <w:sz w:val="24"/>
                <w:szCs w:val="24"/>
              </w:rPr>
            </w:pPr>
            <w:r w:rsidRPr="00903BCB">
              <w:rPr>
                <w:b/>
                <w:bCs/>
                <w:sz w:val="24"/>
                <w:szCs w:val="24"/>
              </w:rPr>
              <w:t>6,113,000</w:t>
            </w:r>
          </w:p>
        </w:tc>
        <w:tc>
          <w:tcPr>
            <w:tcW w:w="1062" w:type="pct"/>
            <w:shd w:val="clear" w:color="auto" w:fill="auto"/>
          </w:tcPr>
          <w:p w14:paraId="13300067" w14:textId="77777777" w:rsidR="00CA50FE" w:rsidRPr="00903BCB" w:rsidRDefault="00CA50FE" w:rsidP="00CA50FE">
            <w:pPr>
              <w:ind w:left="0" w:right="0"/>
              <w:jc w:val="right"/>
              <w:rPr>
                <w:b/>
                <w:bCs/>
                <w:sz w:val="24"/>
                <w:szCs w:val="24"/>
              </w:rPr>
            </w:pPr>
            <w:r w:rsidRPr="00903BCB">
              <w:rPr>
                <w:b/>
                <w:bCs/>
                <w:sz w:val="24"/>
                <w:szCs w:val="24"/>
              </w:rPr>
              <w:t>88,778</w:t>
            </w:r>
          </w:p>
        </w:tc>
        <w:tc>
          <w:tcPr>
            <w:tcW w:w="993" w:type="pct"/>
            <w:shd w:val="clear" w:color="auto" w:fill="auto"/>
            <w:noWrap/>
            <w:vAlign w:val="center"/>
            <w:hideMark/>
          </w:tcPr>
          <w:p w14:paraId="338C3960" w14:textId="77777777" w:rsidR="00CA50FE" w:rsidRPr="00903BCB" w:rsidRDefault="00CA50FE" w:rsidP="00CA50FE">
            <w:pPr>
              <w:ind w:left="0" w:right="0"/>
              <w:jc w:val="right"/>
              <w:rPr>
                <w:b/>
                <w:bCs/>
                <w:sz w:val="24"/>
                <w:szCs w:val="24"/>
              </w:rPr>
            </w:pPr>
            <w:r w:rsidRPr="00903BCB">
              <w:rPr>
                <w:b/>
                <w:bCs/>
                <w:sz w:val="24"/>
                <w:szCs w:val="24"/>
              </w:rPr>
              <w:t>67</w:t>
            </w:r>
          </w:p>
        </w:tc>
      </w:tr>
    </w:tbl>
    <w:p w14:paraId="00FE1AE1" w14:textId="77777777" w:rsidR="00145791" w:rsidRPr="00903BCB" w:rsidRDefault="00145791" w:rsidP="00145791">
      <w:pPr>
        <w:ind w:left="0" w:right="0"/>
        <w:jc w:val="left"/>
        <w:rPr>
          <w:sz w:val="24"/>
          <w:szCs w:val="24"/>
        </w:rPr>
      </w:pPr>
      <w:r w:rsidRPr="00903BCB">
        <w:rPr>
          <w:sz w:val="24"/>
          <w:szCs w:val="24"/>
        </w:rPr>
        <w:t xml:space="preserve">     </w:t>
      </w:r>
      <w:r w:rsidR="00CA50FE" w:rsidRPr="00903BCB">
        <w:rPr>
          <w:sz w:val="24"/>
          <w:szCs w:val="24"/>
        </w:rPr>
        <w:tab/>
      </w:r>
      <w:r w:rsidR="00CA50FE" w:rsidRPr="00903BCB">
        <w:rPr>
          <w:sz w:val="24"/>
          <w:szCs w:val="24"/>
        </w:rPr>
        <w:tab/>
        <w:t xml:space="preserve">     </w:t>
      </w:r>
      <w:r w:rsidRPr="00903BCB">
        <w:rPr>
          <w:sz w:val="24"/>
          <w:szCs w:val="24"/>
        </w:rPr>
        <w:t>Source: Department of Statistics, 2010</w:t>
      </w:r>
    </w:p>
    <w:p w14:paraId="2F59CEE7" w14:textId="77777777" w:rsidR="008067C2" w:rsidRPr="00903BCB" w:rsidRDefault="008067C2" w:rsidP="00EC25F7">
      <w:pPr>
        <w:spacing w:line="360" w:lineRule="auto"/>
        <w:ind w:left="0" w:right="0"/>
        <w:jc w:val="left"/>
        <w:rPr>
          <w:sz w:val="24"/>
          <w:szCs w:val="24"/>
        </w:rPr>
      </w:pPr>
    </w:p>
    <w:p w14:paraId="2363515B" w14:textId="4A08B700" w:rsidR="00EC25F7" w:rsidRPr="00903BCB" w:rsidRDefault="00145791" w:rsidP="00EC25F7">
      <w:pPr>
        <w:spacing w:line="360" w:lineRule="auto"/>
        <w:ind w:left="0" w:right="0"/>
        <w:rPr>
          <w:sz w:val="24"/>
          <w:szCs w:val="24"/>
        </w:rPr>
      </w:pPr>
      <w:r w:rsidRPr="00903BCB">
        <w:rPr>
          <w:sz w:val="24"/>
          <w:szCs w:val="24"/>
        </w:rPr>
        <w:t xml:space="preserve">There </w:t>
      </w:r>
      <w:r w:rsidR="001D5CEE" w:rsidRPr="00903BCB">
        <w:rPr>
          <w:sz w:val="24"/>
          <w:szCs w:val="24"/>
        </w:rPr>
        <w:t>are</w:t>
      </w:r>
      <w:r w:rsidR="00BC6D28" w:rsidRPr="00903BCB">
        <w:rPr>
          <w:sz w:val="24"/>
          <w:szCs w:val="24"/>
        </w:rPr>
        <w:t xml:space="preserve"> </w:t>
      </w:r>
      <w:r w:rsidRPr="00903BCB">
        <w:rPr>
          <w:sz w:val="24"/>
          <w:szCs w:val="24"/>
        </w:rPr>
        <w:t>also regional imbalance</w:t>
      </w:r>
      <w:r w:rsidR="001D5CEE" w:rsidRPr="00903BCB">
        <w:rPr>
          <w:sz w:val="24"/>
          <w:szCs w:val="24"/>
        </w:rPr>
        <w:t>s</w:t>
      </w:r>
      <w:r w:rsidR="00BC6D28" w:rsidRPr="00903BCB">
        <w:rPr>
          <w:sz w:val="24"/>
          <w:szCs w:val="24"/>
        </w:rPr>
        <w:t xml:space="preserve"> between governorates </w:t>
      </w:r>
      <w:r w:rsidR="001D5CEE" w:rsidRPr="00903BCB">
        <w:rPr>
          <w:sz w:val="24"/>
          <w:szCs w:val="24"/>
        </w:rPr>
        <w:t>due</w:t>
      </w:r>
      <w:r w:rsidRPr="00903BCB">
        <w:rPr>
          <w:sz w:val="24"/>
          <w:szCs w:val="24"/>
        </w:rPr>
        <w:t xml:space="preserve"> </w:t>
      </w:r>
      <w:r w:rsidR="001D5CEE" w:rsidRPr="00903BCB">
        <w:rPr>
          <w:sz w:val="24"/>
          <w:szCs w:val="24"/>
        </w:rPr>
        <w:t>to</w:t>
      </w:r>
      <w:r w:rsidRPr="00903BCB">
        <w:rPr>
          <w:sz w:val="24"/>
          <w:szCs w:val="24"/>
        </w:rPr>
        <w:t xml:space="preserve"> difference</w:t>
      </w:r>
      <w:r w:rsidR="001D5CEE" w:rsidRPr="00903BCB">
        <w:rPr>
          <w:sz w:val="24"/>
          <w:szCs w:val="24"/>
        </w:rPr>
        <w:t>s</w:t>
      </w:r>
      <w:r w:rsidRPr="00903BCB">
        <w:rPr>
          <w:sz w:val="24"/>
          <w:szCs w:val="24"/>
        </w:rPr>
        <w:t xml:space="preserve"> in economic opportunities,</w:t>
      </w:r>
      <w:r w:rsidR="001D5CEE" w:rsidRPr="00903BCB">
        <w:rPr>
          <w:sz w:val="24"/>
          <w:szCs w:val="24"/>
        </w:rPr>
        <w:t xml:space="preserve"> which</w:t>
      </w:r>
      <w:r w:rsidRPr="00903BCB">
        <w:rPr>
          <w:sz w:val="24"/>
          <w:szCs w:val="24"/>
        </w:rPr>
        <w:t xml:space="preserve"> </w:t>
      </w:r>
      <w:r w:rsidR="001D5CEE" w:rsidRPr="00903BCB">
        <w:rPr>
          <w:sz w:val="24"/>
          <w:szCs w:val="24"/>
        </w:rPr>
        <w:t>in turn</w:t>
      </w:r>
      <w:r w:rsidR="00BC6D28" w:rsidRPr="00903BCB">
        <w:rPr>
          <w:sz w:val="24"/>
          <w:szCs w:val="24"/>
        </w:rPr>
        <w:t xml:space="preserve"> </w:t>
      </w:r>
      <w:r w:rsidR="00C26753" w:rsidRPr="00903BCB">
        <w:rPr>
          <w:sz w:val="24"/>
          <w:szCs w:val="24"/>
        </w:rPr>
        <w:t xml:space="preserve">partly </w:t>
      </w:r>
      <w:r w:rsidR="001D5CEE" w:rsidRPr="00903BCB">
        <w:rPr>
          <w:sz w:val="24"/>
          <w:szCs w:val="24"/>
        </w:rPr>
        <w:t>explain</w:t>
      </w:r>
      <w:r w:rsidR="00983BD9" w:rsidRPr="00903BCB">
        <w:rPr>
          <w:sz w:val="24"/>
          <w:szCs w:val="24"/>
        </w:rPr>
        <w:t xml:space="preserve"> </w:t>
      </w:r>
      <w:r w:rsidRPr="00903BCB">
        <w:rPr>
          <w:sz w:val="24"/>
          <w:szCs w:val="24"/>
        </w:rPr>
        <w:t>difference</w:t>
      </w:r>
      <w:r w:rsidR="00983BD9" w:rsidRPr="00903BCB">
        <w:rPr>
          <w:sz w:val="24"/>
          <w:szCs w:val="24"/>
        </w:rPr>
        <w:t>s</w:t>
      </w:r>
      <w:r w:rsidRPr="00903BCB">
        <w:rPr>
          <w:sz w:val="24"/>
          <w:szCs w:val="24"/>
        </w:rPr>
        <w:t xml:space="preserve"> in poverty and unemployment rates. For instance, </w:t>
      </w:r>
      <w:r w:rsidR="001D5CEE" w:rsidRPr="00903BCB">
        <w:rPr>
          <w:sz w:val="24"/>
          <w:szCs w:val="24"/>
        </w:rPr>
        <w:t xml:space="preserve">the Governorate of </w:t>
      </w:r>
      <w:r w:rsidRPr="00903BCB">
        <w:rPr>
          <w:sz w:val="24"/>
          <w:szCs w:val="24"/>
        </w:rPr>
        <w:t>Amman</w:t>
      </w:r>
      <w:r w:rsidR="00983BD9" w:rsidRPr="00903BCB">
        <w:rPr>
          <w:sz w:val="24"/>
          <w:szCs w:val="24"/>
        </w:rPr>
        <w:t xml:space="preserve"> </w:t>
      </w:r>
      <w:r w:rsidRPr="00903BCB">
        <w:rPr>
          <w:sz w:val="24"/>
          <w:szCs w:val="24"/>
        </w:rPr>
        <w:t xml:space="preserve">has the lowest poverty </w:t>
      </w:r>
      <w:r w:rsidR="001D5CEE" w:rsidRPr="00903BCB">
        <w:rPr>
          <w:sz w:val="24"/>
          <w:szCs w:val="24"/>
        </w:rPr>
        <w:t xml:space="preserve">(8.3%) </w:t>
      </w:r>
      <w:r w:rsidRPr="00903BCB">
        <w:rPr>
          <w:sz w:val="24"/>
          <w:szCs w:val="24"/>
        </w:rPr>
        <w:t xml:space="preserve">and unemployment </w:t>
      </w:r>
      <w:r w:rsidR="001D5CEE" w:rsidRPr="00903BCB">
        <w:rPr>
          <w:sz w:val="24"/>
          <w:szCs w:val="24"/>
        </w:rPr>
        <w:t xml:space="preserve">(11.2%) </w:t>
      </w:r>
      <w:r w:rsidRPr="00903BCB">
        <w:rPr>
          <w:sz w:val="24"/>
          <w:szCs w:val="24"/>
        </w:rPr>
        <w:t>rate</w:t>
      </w:r>
      <w:r w:rsidR="001D5CEE" w:rsidRPr="00903BCB">
        <w:rPr>
          <w:sz w:val="24"/>
          <w:szCs w:val="24"/>
        </w:rPr>
        <w:t xml:space="preserve">s, </w:t>
      </w:r>
      <w:r w:rsidRPr="00903BCB">
        <w:rPr>
          <w:sz w:val="24"/>
          <w:szCs w:val="24"/>
        </w:rPr>
        <w:t xml:space="preserve">while Mafraq </w:t>
      </w:r>
      <w:r w:rsidR="001D5CEE" w:rsidRPr="00903BCB">
        <w:rPr>
          <w:sz w:val="24"/>
          <w:szCs w:val="24"/>
        </w:rPr>
        <w:t xml:space="preserve"> </w:t>
      </w:r>
      <w:r w:rsidRPr="00903BCB">
        <w:rPr>
          <w:sz w:val="24"/>
          <w:szCs w:val="24"/>
        </w:rPr>
        <w:t>and Ma'an</w:t>
      </w:r>
      <w:r w:rsidR="00E846E7" w:rsidRPr="00903BCB">
        <w:rPr>
          <w:sz w:val="24"/>
          <w:szCs w:val="24"/>
        </w:rPr>
        <w:t>, which have</w:t>
      </w:r>
      <w:r w:rsidR="001D5CEE" w:rsidRPr="00903BCB">
        <w:rPr>
          <w:sz w:val="24"/>
          <w:szCs w:val="24"/>
        </w:rPr>
        <w:t xml:space="preserve"> </w:t>
      </w:r>
      <w:r w:rsidR="00575B68" w:rsidRPr="00903BCB">
        <w:rPr>
          <w:sz w:val="24"/>
          <w:szCs w:val="24"/>
        </w:rPr>
        <w:t>scarce</w:t>
      </w:r>
      <w:r w:rsidRPr="00903BCB">
        <w:rPr>
          <w:sz w:val="24"/>
          <w:szCs w:val="24"/>
        </w:rPr>
        <w:t xml:space="preserve"> economic opportunities, have the highest poverty rates</w:t>
      </w:r>
      <w:r w:rsidR="00E846E7" w:rsidRPr="00903BCB">
        <w:rPr>
          <w:sz w:val="24"/>
          <w:szCs w:val="24"/>
        </w:rPr>
        <w:t xml:space="preserve"> - 31.9% and 24.2%, respectively</w:t>
      </w:r>
      <w:r w:rsidR="00983BD9" w:rsidRPr="00903BCB">
        <w:rPr>
          <w:sz w:val="24"/>
          <w:szCs w:val="24"/>
        </w:rPr>
        <w:t>.</w:t>
      </w:r>
      <w:r w:rsidRPr="00903BCB">
        <w:rPr>
          <w:sz w:val="24"/>
          <w:szCs w:val="24"/>
        </w:rPr>
        <w:t xml:space="preserve"> </w:t>
      </w:r>
      <w:r w:rsidR="00C26753" w:rsidRPr="00903BCB">
        <w:rPr>
          <w:sz w:val="24"/>
          <w:szCs w:val="24"/>
        </w:rPr>
        <w:t xml:space="preserve">Similarly, </w:t>
      </w:r>
      <w:r w:rsidRPr="00903BCB">
        <w:rPr>
          <w:sz w:val="24"/>
          <w:szCs w:val="24"/>
        </w:rPr>
        <w:t>Ma'an</w:t>
      </w:r>
      <w:r w:rsidR="00575B68" w:rsidRPr="00903BCB">
        <w:rPr>
          <w:sz w:val="24"/>
          <w:szCs w:val="24"/>
        </w:rPr>
        <w:t xml:space="preserve"> (17.7%)</w:t>
      </w:r>
      <w:r w:rsidR="00B95B09" w:rsidRPr="00903BCB">
        <w:rPr>
          <w:sz w:val="24"/>
          <w:szCs w:val="24"/>
        </w:rPr>
        <w:t>, Karak</w:t>
      </w:r>
      <w:r w:rsidR="00575B68" w:rsidRPr="00903BCB">
        <w:rPr>
          <w:sz w:val="24"/>
          <w:szCs w:val="24"/>
        </w:rPr>
        <w:t xml:space="preserve"> (16%)</w:t>
      </w:r>
      <w:r w:rsidR="00B95B09" w:rsidRPr="00903BCB">
        <w:rPr>
          <w:sz w:val="24"/>
          <w:szCs w:val="24"/>
        </w:rPr>
        <w:t xml:space="preserve"> and Tafiela </w:t>
      </w:r>
      <w:r w:rsidR="00575B68" w:rsidRPr="00903BCB">
        <w:rPr>
          <w:sz w:val="24"/>
          <w:szCs w:val="24"/>
        </w:rPr>
        <w:t xml:space="preserve">(15.6%) </w:t>
      </w:r>
      <w:r w:rsidR="00B95B09" w:rsidRPr="00903BCB">
        <w:rPr>
          <w:sz w:val="24"/>
          <w:szCs w:val="24"/>
        </w:rPr>
        <w:t>have</w:t>
      </w:r>
      <w:r w:rsidRPr="00903BCB">
        <w:rPr>
          <w:sz w:val="24"/>
          <w:szCs w:val="24"/>
        </w:rPr>
        <w:t xml:space="preserve"> the highes</w:t>
      </w:r>
      <w:r w:rsidR="002513C2" w:rsidRPr="00903BCB">
        <w:rPr>
          <w:sz w:val="24"/>
          <w:szCs w:val="24"/>
        </w:rPr>
        <w:t>t unemployment rates</w:t>
      </w:r>
      <w:r w:rsidR="007D7A82" w:rsidRPr="00903BCB">
        <w:rPr>
          <w:sz w:val="24"/>
          <w:szCs w:val="24"/>
        </w:rPr>
        <w:t xml:space="preserve"> (see Table </w:t>
      </w:r>
      <w:r w:rsidR="00DC2E1C" w:rsidRPr="00903BCB">
        <w:rPr>
          <w:sz w:val="24"/>
          <w:szCs w:val="24"/>
        </w:rPr>
        <w:t>5</w:t>
      </w:r>
      <w:r w:rsidR="007D7A82" w:rsidRPr="00903BCB">
        <w:rPr>
          <w:sz w:val="24"/>
          <w:szCs w:val="24"/>
        </w:rPr>
        <w:t>).</w:t>
      </w:r>
      <w:r w:rsidR="00983BD9" w:rsidRPr="00903BCB">
        <w:rPr>
          <w:sz w:val="24"/>
          <w:szCs w:val="24"/>
        </w:rPr>
        <w:t xml:space="preserve"> </w:t>
      </w:r>
    </w:p>
    <w:p w14:paraId="3434E271" w14:textId="77777777" w:rsidR="00344AF7" w:rsidRPr="00903BCB" w:rsidRDefault="00344AF7" w:rsidP="00EC25F7">
      <w:pPr>
        <w:spacing w:line="360" w:lineRule="auto"/>
        <w:ind w:left="0" w:right="0"/>
        <w:rPr>
          <w:sz w:val="24"/>
          <w:szCs w:val="24"/>
        </w:rPr>
      </w:pPr>
    </w:p>
    <w:p w14:paraId="6BDFEB18" w14:textId="77777777" w:rsidR="00145791" w:rsidRPr="00903BCB" w:rsidRDefault="00145791" w:rsidP="001823C5">
      <w:pPr>
        <w:ind w:left="720" w:right="0" w:firstLine="720"/>
        <w:jc w:val="left"/>
        <w:rPr>
          <w:b/>
          <w:bCs/>
          <w:sz w:val="24"/>
          <w:szCs w:val="24"/>
          <w:lang w:val="en-GB"/>
        </w:rPr>
      </w:pPr>
      <w:bookmarkStart w:id="0" w:name="_Toc270693534"/>
      <w:r w:rsidRPr="00903BCB">
        <w:rPr>
          <w:b/>
          <w:bCs/>
          <w:sz w:val="24"/>
          <w:szCs w:val="24"/>
          <w:lang w:val="en-GB"/>
        </w:rPr>
        <w:t xml:space="preserve">Table </w:t>
      </w:r>
      <w:r w:rsidR="00DC2E1C" w:rsidRPr="00903BCB">
        <w:rPr>
          <w:b/>
          <w:bCs/>
          <w:sz w:val="24"/>
          <w:szCs w:val="24"/>
          <w:lang w:val="en-GB"/>
        </w:rPr>
        <w:t>5</w:t>
      </w:r>
      <w:r w:rsidRPr="00903BCB">
        <w:rPr>
          <w:b/>
          <w:bCs/>
          <w:sz w:val="24"/>
          <w:szCs w:val="24"/>
          <w:lang w:val="en-GB"/>
        </w:rPr>
        <w:t xml:space="preserve">: </w:t>
      </w:r>
      <w:r w:rsidRPr="00903BCB">
        <w:rPr>
          <w:bCs/>
          <w:sz w:val="24"/>
          <w:szCs w:val="24"/>
          <w:lang w:val="en-GB"/>
        </w:rPr>
        <w:t>Poverty</w:t>
      </w:r>
      <w:r w:rsidR="0023001E" w:rsidRPr="00903BCB">
        <w:rPr>
          <w:bCs/>
          <w:sz w:val="24"/>
          <w:szCs w:val="24"/>
          <w:lang w:val="en-GB"/>
        </w:rPr>
        <w:t xml:space="preserve"> and Unemployment</w:t>
      </w:r>
      <w:r w:rsidRPr="00903BCB">
        <w:rPr>
          <w:bCs/>
          <w:sz w:val="24"/>
          <w:szCs w:val="24"/>
          <w:lang w:val="en-GB"/>
        </w:rPr>
        <w:t xml:space="preserve"> Distribution by Governorate</w:t>
      </w:r>
      <w:bookmarkEnd w:id="0"/>
    </w:p>
    <w:tbl>
      <w:tblPr>
        <w:tblW w:w="3434" w:type="pct"/>
        <w:jc w:val="center"/>
        <w:tblInd w:w="-1186" w:type="dxa"/>
        <w:tblLayout w:type="fixed"/>
        <w:tblLook w:val="04A0" w:firstRow="1" w:lastRow="0" w:firstColumn="1" w:lastColumn="0" w:noHBand="0" w:noVBand="1"/>
      </w:tblPr>
      <w:tblGrid>
        <w:gridCol w:w="1348"/>
        <w:gridCol w:w="3074"/>
        <w:gridCol w:w="2155"/>
      </w:tblGrid>
      <w:tr w:rsidR="00145791" w:rsidRPr="00903BCB" w14:paraId="562E0D1C" w14:textId="77777777" w:rsidTr="004F06B8">
        <w:trPr>
          <w:tblHeader/>
          <w:jc w:val="center"/>
        </w:trPr>
        <w:tc>
          <w:tcPr>
            <w:tcW w:w="1025"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84AD858" w14:textId="77777777" w:rsidR="00145791" w:rsidRPr="00903BCB" w:rsidRDefault="00145791" w:rsidP="002757B5">
            <w:pPr>
              <w:ind w:left="0" w:right="0"/>
              <w:jc w:val="center"/>
              <w:rPr>
                <w:bCs/>
                <w:sz w:val="24"/>
                <w:szCs w:val="24"/>
              </w:rPr>
            </w:pPr>
            <w:r w:rsidRPr="00903BCB">
              <w:rPr>
                <w:bCs/>
                <w:sz w:val="24"/>
                <w:szCs w:val="24"/>
              </w:rPr>
              <w:t>Governorate</w:t>
            </w:r>
          </w:p>
        </w:tc>
        <w:tc>
          <w:tcPr>
            <w:tcW w:w="2337" w:type="pct"/>
            <w:tcBorders>
              <w:top w:val="single" w:sz="8" w:space="0" w:color="auto"/>
              <w:left w:val="nil"/>
              <w:bottom w:val="single" w:sz="8" w:space="0" w:color="auto"/>
              <w:right w:val="single" w:sz="4" w:space="0" w:color="auto"/>
            </w:tcBorders>
            <w:shd w:val="clear" w:color="auto" w:fill="auto"/>
            <w:noWrap/>
            <w:vAlign w:val="center"/>
            <w:hideMark/>
          </w:tcPr>
          <w:p w14:paraId="3A5A50F5" w14:textId="275364FF" w:rsidR="00145791" w:rsidRPr="00903BCB" w:rsidRDefault="00145791" w:rsidP="004F06B8">
            <w:pPr>
              <w:ind w:left="0" w:right="0"/>
              <w:jc w:val="center"/>
              <w:rPr>
                <w:bCs/>
                <w:sz w:val="24"/>
                <w:szCs w:val="24"/>
              </w:rPr>
            </w:pPr>
            <w:r w:rsidRPr="00903BCB">
              <w:rPr>
                <w:bCs/>
                <w:sz w:val="24"/>
                <w:szCs w:val="24"/>
              </w:rPr>
              <w:t xml:space="preserve">Poverty </w:t>
            </w:r>
            <w:r w:rsidR="00BC3FCA" w:rsidRPr="00903BCB">
              <w:rPr>
                <w:bCs/>
                <w:sz w:val="24"/>
                <w:szCs w:val="24"/>
              </w:rPr>
              <w:t>R</w:t>
            </w:r>
            <w:r w:rsidRPr="00903BCB">
              <w:rPr>
                <w:bCs/>
                <w:sz w:val="24"/>
                <w:szCs w:val="24"/>
              </w:rPr>
              <w:t xml:space="preserve">ate / </w:t>
            </w:r>
            <w:r w:rsidR="00BC3FCA" w:rsidRPr="00903BCB">
              <w:rPr>
                <w:bCs/>
                <w:sz w:val="24"/>
                <w:szCs w:val="24"/>
              </w:rPr>
              <w:t>P</w:t>
            </w:r>
            <w:r w:rsidRPr="00903BCB">
              <w:rPr>
                <w:bCs/>
                <w:sz w:val="24"/>
                <w:szCs w:val="24"/>
              </w:rPr>
              <w:t>ercentage of</w:t>
            </w:r>
          </w:p>
          <w:p w14:paraId="35E08831" w14:textId="20BF7F41" w:rsidR="00145791" w:rsidRPr="00903BCB" w:rsidRDefault="00BC3FCA" w:rsidP="004F06B8">
            <w:pPr>
              <w:ind w:left="0" w:right="0"/>
              <w:jc w:val="center"/>
              <w:rPr>
                <w:bCs/>
                <w:sz w:val="24"/>
                <w:szCs w:val="24"/>
              </w:rPr>
            </w:pPr>
            <w:r w:rsidRPr="00903BCB">
              <w:rPr>
                <w:bCs/>
                <w:sz w:val="24"/>
                <w:szCs w:val="24"/>
              </w:rPr>
              <w:t>R</w:t>
            </w:r>
            <w:r w:rsidR="00145791" w:rsidRPr="00903BCB">
              <w:rPr>
                <w:bCs/>
                <w:sz w:val="24"/>
                <w:szCs w:val="24"/>
              </w:rPr>
              <w:t xml:space="preserve">esidents </w:t>
            </w:r>
            <w:r w:rsidRPr="00903BCB">
              <w:rPr>
                <w:bCs/>
                <w:sz w:val="24"/>
                <w:szCs w:val="24"/>
              </w:rPr>
              <w:t>B</w:t>
            </w:r>
            <w:r w:rsidR="00145791" w:rsidRPr="00903BCB">
              <w:rPr>
                <w:bCs/>
                <w:sz w:val="24"/>
                <w:szCs w:val="24"/>
              </w:rPr>
              <w:t xml:space="preserve">elow </w:t>
            </w:r>
            <w:r w:rsidRPr="00903BCB">
              <w:rPr>
                <w:bCs/>
                <w:sz w:val="24"/>
                <w:szCs w:val="24"/>
              </w:rPr>
              <w:t>P</w:t>
            </w:r>
            <w:r w:rsidR="00145791" w:rsidRPr="00903BCB">
              <w:rPr>
                <w:bCs/>
                <w:sz w:val="24"/>
                <w:szCs w:val="24"/>
              </w:rPr>
              <w:t xml:space="preserve">overty </w:t>
            </w:r>
            <w:r w:rsidRPr="00903BCB">
              <w:rPr>
                <w:bCs/>
                <w:sz w:val="24"/>
                <w:szCs w:val="24"/>
              </w:rPr>
              <w:t>L</w:t>
            </w:r>
            <w:r w:rsidR="00145791" w:rsidRPr="00903BCB">
              <w:rPr>
                <w:bCs/>
                <w:sz w:val="24"/>
                <w:szCs w:val="24"/>
              </w:rPr>
              <w:t>ine</w:t>
            </w:r>
          </w:p>
        </w:tc>
        <w:tc>
          <w:tcPr>
            <w:tcW w:w="1639" w:type="pct"/>
            <w:tcBorders>
              <w:top w:val="single" w:sz="8" w:space="0" w:color="auto"/>
              <w:left w:val="nil"/>
              <w:bottom w:val="single" w:sz="8" w:space="0" w:color="auto"/>
              <w:right w:val="single" w:sz="8" w:space="0" w:color="auto"/>
            </w:tcBorders>
            <w:shd w:val="clear" w:color="auto" w:fill="auto"/>
            <w:vAlign w:val="center"/>
            <w:hideMark/>
          </w:tcPr>
          <w:p w14:paraId="01D59AB1" w14:textId="77777777" w:rsidR="00145791" w:rsidRPr="00903BCB" w:rsidRDefault="00145791" w:rsidP="004F06B8">
            <w:pPr>
              <w:ind w:left="0" w:right="0"/>
              <w:jc w:val="center"/>
              <w:rPr>
                <w:bCs/>
                <w:sz w:val="24"/>
                <w:szCs w:val="24"/>
              </w:rPr>
            </w:pPr>
            <w:r w:rsidRPr="00903BCB">
              <w:rPr>
                <w:bCs/>
                <w:sz w:val="24"/>
                <w:szCs w:val="24"/>
              </w:rPr>
              <w:t>Unemployment</w:t>
            </w:r>
          </w:p>
          <w:p w14:paraId="7A9C3870" w14:textId="77777777" w:rsidR="00145791" w:rsidRPr="00903BCB" w:rsidRDefault="00145791" w:rsidP="004F06B8">
            <w:pPr>
              <w:ind w:left="0" w:right="0"/>
              <w:jc w:val="center"/>
              <w:rPr>
                <w:bCs/>
                <w:sz w:val="24"/>
                <w:szCs w:val="24"/>
                <w:rtl/>
              </w:rPr>
            </w:pPr>
            <w:r w:rsidRPr="00903BCB">
              <w:rPr>
                <w:bCs/>
                <w:sz w:val="24"/>
                <w:szCs w:val="24"/>
              </w:rPr>
              <w:t>Rate</w:t>
            </w:r>
          </w:p>
        </w:tc>
      </w:tr>
      <w:tr w:rsidR="00145791" w:rsidRPr="00903BCB" w14:paraId="185EF9AD"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3FB9D5A5" w14:textId="77777777" w:rsidR="00145791" w:rsidRPr="00903BCB" w:rsidRDefault="00145791" w:rsidP="00145791">
            <w:pPr>
              <w:ind w:left="0" w:right="0"/>
              <w:jc w:val="left"/>
              <w:rPr>
                <w:sz w:val="24"/>
                <w:szCs w:val="24"/>
              </w:rPr>
            </w:pPr>
            <w:r w:rsidRPr="00903BCB">
              <w:rPr>
                <w:sz w:val="24"/>
                <w:szCs w:val="24"/>
              </w:rPr>
              <w:t>Irbid</w:t>
            </w:r>
          </w:p>
        </w:tc>
        <w:tc>
          <w:tcPr>
            <w:tcW w:w="2337" w:type="pct"/>
            <w:tcBorders>
              <w:top w:val="nil"/>
              <w:left w:val="nil"/>
              <w:bottom w:val="single" w:sz="4" w:space="0" w:color="auto"/>
              <w:right w:val="single" w:sz="4" w:space="0" w:color="auto"/>
            </w:tcBorders>
            <w:shd w:val="clear" w:color="auto" w:fill="auto"/>
            <w:noWrap/>
            <w:vAlign w:val="center"/>
            <w:hideMark/>
          </w:tcPr>
          <w:p w14:paraId="5745F90D" w14:textId="77777777" w:rsidR="00145791" w:rsidRPr="00903BCB" w:rsidRDefault="00145791" w:rsidP="004F06B8">
            <w:pPr>
              <w:ind w:left="0" w:right="0"/>
              <w:jc w:val="center"/>
              <w:rPr>
                <w:sz w:val="24"/>
                <w:szCs w:val="24"/>
              </w:rPr>
            </w:pPr>
            <w:r w:rsidRPr="00903BCB">
              <w:rPr>
                <w:sz w:val="24"/>
                <w:szCs w:val="24"/>
              </w:rPr>
              <w:t>14.70%</w:t>
            </w:r>
          </w:p>
        </w:tc>
        <w:tc>
          <w:tcPr>
            <w:tcW w:w="1639" w:type="pct"/>
            <w:tcBorders>
              <w:top w:val="nil"/>
              <w:left w:val="nil"/>
              <w:bottom w:val="single" w:sz="4" w:space="0" w:color="auto"/>
              <w:right w:val="single" w:sz="8" w:space="0" w:color="auto"/>
            </w:tcBorders>
            <w:shd w:val="clear" w:color="auto" w:fill="auto"/>
            <w:noWrap/>
            <w:vAlign w:val="bottom"/>
            <w:hideMark/>
          </w:tcPr>
          <w:p w14:paraId="327046F5" w14:textId="77777777" w:rsidR="00145791" w:rsidRPr="00903BCB" w:rsidRDefault="00145791" w:rsidP="004F06B8">
            <w:pPr>
              <w:ind w:left="0" w:right="0"/>
              <w:jc w:val="center"/>
              <w:rPr>
                <w:sz w:val="24"/>
                <w:szCs w:val="24"/>
              </w:rPr>
            </w:pPr>
            <w:r w:rsidRPr="00903BCB">
              <w:rPr>
                <w:sz w:val="24"/>
                <w:szCs w:val="24"/>
              </w:rPr>
              <w:t>13.9%</w:t>
            </w:r>
          </w:p>
        </w:tc>
      </w:tr>
      <w:tr w:rsidR="00145791" w:rsidRPr="00903BCB" w14:paraId="7C113894"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0E9D1F11" w14:textId="77777777" w:rsidR="00145791" w:rsidRPr="00903BCB" w:rsidRDefault="00145791" w:rsidP="00145791">
            <w:pPr>
              <w:ind w:left="0" w:right="0"/>
              <w:jc w:val="left"/>
              <w:rPr>
                <w:sz w:val="24"/>
                <w:szCs w:val="24"/>
              </w:rPr>
            </w:pPr>
            <w:r w:rsidRPr="00903BCB">
              <w:rPr>
                <w:sz w:val="24"/>
                <w:szCs w:val="24"/>
              </w:rPr>
              <w:t>Mafraq</w:t>
            </w:r>
          </w:p>
        </w:tc>
        <w:tc>
          <w:tcPr>
            <w:tcW w:w="2337" w:type="pct"/>
            <w:tcBorders>
              <w:top w:val="nil"/>
              <w:left w:val="nil"/>
              <w:bottom w:val="single" w:sz="4" w:space="0" w:color="auto"/>
              <w:right w:val="single" w:sz="4" w:space="0" w:color="auto"/>
            </w:tcBorders>
            <w:shd w:val="clear" w:color="auto" w:fill="auto"/>
            <w:noWrap/>
            <w:vAlign w:val="center"/>
            <w:hideMark/>
          </w:tcPr>
          <w:p w14:paraId="3CBD9203" w14:textId="77777777" w:rsidR="00145791" w:rsidRPr="00903BCB" w:rsidRDefault="00145791" w:rsidP="004F06B8">
            <w:pPr>
              <w:ind w:left="0" w:right="0"/>
              <w:jc w:val="center"/>
              <w:rPr>
                <w:sz w:val="24"/>
                <w:szCs w:val="24"/>
              </w:rPr>
            </w:pPr>
            <w:r w:rsidRPr="00903BCB">
              <w:rPr>
                <w:sz w:val="24"/>
                <w:szCs w:val="24"/>
              </w:rPr>
              <w:t>31.90%</w:t>
            </w:r>
          </w:p>
        </w:tc>
        <w:tc>
          <w:tcPr>
            <w:tcW w:w="1639" w:type="pct"/>
            <w:tcBorders>
              <w:top w:val="nil"/>
              <w:left w:val="nil"/>
              <w:bottom w:val="single" w:sz="4" w:space="0" w:color="auto"/>
              <w:right w:val="single" w:sz="8" w:space="0" w:color="auto"/>
            </w:tcBorders>
            <w:shd w:val="clear" w:color="auto" w:fill="auto"/>
            <w:noWrap/>
            <w:vAlign w:val="bottom"/>
            <w:hideMark/>
          </w:tcPr>
          <w:p w14:paraId="4F9757D4" w14:textId="77777777" w:rsidR="00145791" w:rsidRPr="00903BCB" w:rsidRDefault="00145791" w:rsidP="004F06B8">
            <w:pPr>
              <w:ind w:left="0" w:right="0"/>
              <w:jc w:val="center"/>
              <w:rPr>
                <w:sz w:val="24"/>
                <w:szCs w:val="24"/>
              </w:rPr>
            </w:pPr>
            <w:r w:rsidRPr="00903BCB">
              <w:rPr>
                <w:sz w:val="24"/>
                <w:szCs w:val="24"/>
              </w:rPr>
              <w:t>13.5%</w:t>
            </w:r>
          </w:p>
        </w:tc>
      </w:tr>
      <w:tr w:rsidR="00145791" w:rsidRPr="00903BCB" w14:paraId="0723C41D"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3BB47A6E" w14:textId="77777777" w:rsidR="00145791" w:rsidRPr="00903BCB" w:rsidRDefault="00145791" w:rsidP="00145791">
            <w:pPr>
              <w:ind w:left="0" w:right="0"/>
              <w:jc w:val="left"/>
              <w:rPr>
                <w:sz w:val="24"/>
                <w:szCs w:val="24"/>
              </w:rPr>
            </w:pPr>
            <w:r w:rsidRPr="00903BCB">
              <w:rPr>
                <w:sz w:val="24"/>
                <w:szCs w:val="24"/>
              </w:rPr>
              <w:t>Jarash</w:t>
            </w:r>
          </w:p>
        </w:tc>
        <w:tc>
          <w:tcPr>
            <w:tcW w:w="2337" w:type="pct"/>
            <w:tcBorders>
              <w:top w:val="nil"/>
              <w:left w:val="nil"/>
              <w:bottom w:val="single" w:sz="4" w:space="0" w:color="auto"/>
              <w:right w:val="single" w:sz="4" w:space="0" w:color="auto"/>
            </w:tcBorders>
            <w:shd w:val="clear" w:color="auto" w:fill="auto"/>
            <w:noWrap/>
            <w:vAlign w:val="center"/>
            <w:hideMark/>
          </w:tcPr>
          <w:p w14:paraId="15C9A0C2" w14:textId="77777777" w:rsidR="00145791" w:rsidRPr="00903BCB" w:rsidRDefault="00145791" w:rsidP="004F06B8">
            <w:pPr>
              <w:ind w:left="0" w:right="0"/>
              <w:jc w:val="center"/>
              <w:rPr>
                <w:sz w:val="24"/>
                <w:szCs w:val="24"/>
              </w:rPr>
            </w:pPr>
            <w:r w:rsidRPr="00903BCB">
              <w:rPr>
                <w:sz w:val="24"/>
                <w:szCs w:val="24"/>
              </w:rPr>
              <w:t>20.30%</w:t>
            </w:r>
          </w:p>
        </w:tc>
        <w:tc>
          <w:tcPr>
            <w:tcW w:w="1639" w:type="pct"/>
            <w:tcBorders>
              <w:top w:val="nil"/>
              <w:left w:val="nil"/>
              <w:bottom w:val="single" w:sz="4" w:space="0" w:color="auto"/>
              <w:right w:val="single" w:sz="8" w:space="0" w:color="auto"/>
            </w:tcBorders>
            <w:shd w:val="clear" w:color="auto" w:fill="auto"/>
            <w:noWrap/>
            <w:vAlign w:val="bottom"/>
            <w:hideMark/>
          </w:tcPr>
          <w:p w14:paraId="7329014C" w14:textId="77777777" w:rsidR="00145791" w:rsidRPr="00903BCB" w:rsidRDefault="00145791" w:rsidP="004F06B8">
            <w:pPr>
              <w:ind w:left="0" w:right="0"/>
              <w:jc w:val="center"/>
              <w:rPr>
                <w:sz w:val="24"/>
                <w:szCs w:val="24"/>
              </w:rPr>
            </w:pPr>
            <w:r w:rsidRPr="00903BCB">
              <w:rPr>
                <w:sz w:val="24"/>
                <w:szCs w:val="24"/>
              </w:rPr>
              <w:t>13.3%</w:t>
            </w:r>
          </w:p>
        </w:tc>
      </w:tr>
      <w:tr w:rsidR="00145791" w:rsidRPr="00903BCB" w14:paraId="0009D3F5"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0227379F" w14:textId="77777777" w:rsidR="00145791" w:rsidRPr="00903BCB" w:rsidRDefault="00145791" w:rsidP="00145791">
            <w:pPr>
              <w:ind w:left="0" w:right="0"/>
              <w:jc w:val="left"/>
              <w:rPr>
                <w:sz w:val="24"/>
                <w:szCs w:val="24"/>
              </w:rPr>
            </w:pPr>
            <w:r w:rsidRPr="00903BCB">
              <w:rPr>
                <w:sz w:val="24"/>
                <w:szCs w:val="24"/>
              </w:rPr>
              <w:t>Ajlun</w:t>
            </w:r>
          </w:p>
        </w:tc>
        <w:tc>
          <w:tcPr>
            <w:tcW w:w="2337" w:type="pct"/>
            <w:tcBorders>
              <w:top w:val="nil"/>
              <w:left w:val="nil"/>
              <w:bottom w:val="single" w:sz="4" w:space="0" w:color="auto"/>
              <w:right w:val="single" w:sz="4" w:space="0" w:color="auto"/>
            </w:tcBorders>
            <w:shd w:val="clear" w:color="auto" w:fill="auto"/>
            <w:noWrap/>
            <w:vAlign w:val="center"/>
            <w:hideMark/>
          </w:tcPr>
          <w:p w14:paraId="358D933F" w14:textId="77777777" w:rsidR="00145791" w:rsidRPr="00903BCB" w:rsidRDefault="00145791" w:rsidP="004F06B8">
            <w:pPr>
              <w:ind w:left="0" w:right="0"/>
              <w:jc w:val="center"/>
              <w:rPr>
                <w:sz w:val="24"/>
                <w:szCs w:val="24"/>
              </w:rPr>
            </w:pPr>
            <w:r w:rsidRPr="00903BCB">
              <w:rPr>
                <w:sz w:val="24"/>
                <w:szCs w:val="24"/>
              </w:rPr>
              <w:t>13.30%</w:t>
            </w:r>
          </w:p>
        </w:tc>
        <w:tc>
          <w:tcPr>
            <w:tcW w:w="1639" w:type="pct"/>
            <w:tcBorders>
              <w:top w:val="nil"/>
              <w:left w:val="nil"/>
              <w:bottom w:val="single" w:sz="4" w:space="0" w:color="auto"/>
              <w:right w:val="single" w:sz="8" w:space="0" w:color="auto"/>
            </w:tcBorders>
            <w:shd w:val="clear" w:color="auto" w:fill="auto"/>
            <w:noWrap/>
            <w:vAlign w:val="bottom"/>
            <w:hideMark/>
          </w:tcPr>
          <w:p w14:paraId="1356B27B" w14:textId="77777777" w:rsidR="00145791" w:rsidRPr="00903BCB" w:rsidRDefault="00145791" w:rsidP="004F06B8">
            <w:pPr>
              <w:ind w:left="0" w:right="0"/>
              <w:jc w:val="center"/>
              <w:rPr>
                <w:sz w:val="24"/>
                <w:szCs w:val="24"/>
              </w:rPr>
            </w:pPr>
            <w:r w:rsidRPr="00903BCB">
              <w:rPr>
                <w:sz w:val="24"/>
                <w:szCs w:val="24"/>
              </w:rPr>
              <w:t>15.3%</w:t>
            </w:r>
          </w:p>
        </w:tc>
      </w:tr>
      <w:tr w:rsidR="00145791" w:rsidRPr="00903BCB" w14:paraId="3E7BD9FA"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1415051F" w14:textId="77777777" w:rsidR="00145791" w:rsidRPr="00903BCB" w:rsidRDefault="00145791" w:rsidP="00145791">
            <w:pPr>
              <w:ind w:left="0" w:right="0"/>
              <w:jc w:val="left"/>
              <w:rPr>
                <w:sz w:val="24"/>
                <w:szCs w:val="24"/>
              </w:rPr>
            </w:pPr>
            <w:r w:rsidRPr="00903BCB">
              <w:rPr>
                <w:sz w:val="24"/>
                <w:szCs w:val="24"/>
              </w:rPr>
              <w:t>Amman</w:t>
            </w:r>
          </w:p>
        </w:tc>
        <w:tc>
          <w:tcPr>
            <w:tcW w:w="2337" w:type="pct"/>
            <w:tcBorders>
              <w:top w:val="nil"/>
              <w:left w:val="nil"/>
              <w:bottom w:val="single" w:sz="4" w:space="0" w:color="auto"/>
              <w:right w:val="single" w:sz="4" w:space="0" w:color="auto"/>
            </w:tcBorders>
            <w:shd w:val="clear" w:color="auto" w:fill="auto"/>
            <w:noWrap/>
            <w:vAlign w:val="center"/>
            <w:hideMark/>
          </w:tcPr>
          <w:p w14:paraId="057222B3" w14:textId="77777777" w:rsidR="00145791" w:rsidRPr="00903BCB" w:rsidRDefault="00145791" w:rsidP="004F06B8">
            <w:pPr>
              <w:ind w:left="0" w:right="0"/>
              <w:jc w:val="center"/>
              <w:rPr>
                <w:sz w:val="24"/>
                <w:szCs w:val="24"/>
              </w:rPr>
            </w:pPr>
            <w:r w:rsidRPr="00903BCB">
              <w:rPr>
                <w:sz w:val="24"/>
                <w:szCs w:val="24"/>
              </w:rPr>
              <w:t>8.30%</w:t>
            </w:r>
          </w:p>
        </w:tc>
        <w:tc>
          <w:tcPr>
            <w:tcW w:w="1639" w:type="pct"/>
            <w:tcBorders>
              <w:top w:val="nil"/>
              <w:left w:val="nil"/>
              <w:bottom w:val="single" w:sz="4" w:space="0" w:color="auto"/>
              <w:right w:val="single" w:sz="8" w:space="0" w:color="auto"/>
            </w:tcBorders>
            <w:shd w:val="clear" w:color="auto" w:fill="auto"/>
            <w:noWrap/>
            <w:vAlign w:val="center"/>
            <w:hideMark/>
          </w:tcPr>
          <w:p w14:paraId="06A9E326" w14:textId="77777777" w:rsidR="00145791" w:rsidRPr="00903BCB" w:rsidRDefault="00145791" w:rsidP="004F06B8">
            <w:pPr>
              <w:ind w:left="0" w:right="0"/>
              <w:jc w:val="center"/>
              <w:rPr>
                <w:sz w:val="24"/>
                <w:szCs w:val="24"/>
              </w:rPr>
            </w:pPr>
            <w:r w:rsidRPr="00903BCB">
              <w:rPr>
                <w:sz w:val="24"/>
                <w:szCs w:val="24"/>
              </w:rPr>
              <w:t>11.2%</w:t>
            </w:r>
          </w:p>
        </w:tc>
      </w:tr>
      <w:tr w:rsidR="00145791" w:rsidRPr="00903BCB" w14:paraId="3EB0A469"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306623CE" w14:textId="77777777" w:rsidR="00145791" w:rsidRPr="00903BCB" w:rsidRDefault="00145791" w:rsidP="00145791">
            <w:pPr>
              <w:ind w:left="0" w:right="0"/>
              <w:jc w:val="left"/>
              <w:rPr>
                <w:sz w:val="24"/>
                <w:szCs w:val="24"/>
              </w:rPr>
            </w:pPr>
            <w:r w:rsidRPr="00903BCB">
              <w:rPr>
                <w:sz w:val="24"/>
                <w:szCs w:val="24"/>
              </w:rPr>
              <w:t>Zarqa</w:t>
            </w:r>
          </w:p>
        </w:tc>
        <w:tc>
          <w:tcPr>
            <w:tcW w:w="2337" w:type="pct"/>
            <w:tcBorders>
              <w:top w:val="nil"/>
              <w:left w:val="nil"/>
              <w:bottom w:val="single" w:sz="4" w:space="0" w:color="auto"/>
              <w:right w:val="single" w:sz="4" w:space="0" w:color="auto"/>
            </w:tcBorders>
            <w:shd w:val="clear" w:color="auto" w:fill="auto"/>
            <w:noWrap/>
            <w:vAlign w:val="center"/>
            <w:hideMark/>
          </w:tcPr>
          <w:p w14:paraId="5978713F" w14:textId="77777777" w:rsidR="00145791" w:rsidRPr="00903BCB" w:rsidRDefault="00145791" w:rsidP="004F06B8">
            <w:pPr>
              <w:ind w:left="0" w:right="0"/>
              <w:jc w:val="center"/>
              <w:rPr>
                <w:sz w:val="24"/>
                <w:szCs w:val="24"/>
              </w:rPr>
            </w:pPr>
            <w:r w:rsidRPr="00903BCB">
              <w:rPr>
                <w:sz w:val="24"/>
                <w:szCs w:val="24"/>
              </w:rPr>
              <w:t>11.20%</w:t>
            </w:r>
          </w:p>
        </w:tc>
        <w:tc>
          <w:tcPr>
            <w:tcW w:w="1639" w:type="pct"/>
            <w:tcBorders>
              <w:top w:val="nil"/>
              <w:left w:val="nil"/>
              <w:bottom w:val="single" w:sz="4" w:space="0" w:color="auto"/>
              <w:right w:val="single" w:sz="8" w:space="0" w:color="auto"/>
            </w:tcBorders>
            <w:shd w:val="clear" w:color="auto" w:fill="auto"/>
            <w:noWrap/>
            <w:vAlign w:val="center"/>
            <w:hideMark/>
          </w:tcPr>
          <w:p w14:paraId="7C9D6ECD" w14:textId="77777777" w:rsidR="00145791" w:rsidRPr="00903BCB" w:rsidRDefault="00145791" w:rsidP="004F06B8">
            <w:pPr>
              <w:ind w:left="0" w:right="0"/>
              <w:jc w:val="center"/>
              <w:rPr>
                <w:sz w:val="24"/>
                <w:szCs w:val="24"/>
              </w:rPr>
            </w:pPr>
            <w:r w:rsidRPr="00903BCB">
              <w:rPr>
                <w:sz w:val="24"/>
                <w:szCs w:val="24"/>
              </w:rPr>
              <w:t>12.9%</w:t>
            </w:r>
          </w:p>
        </w:tc>
      </w:tr>
      <w:tr w:rsidR="00145791" w:rsidRPr="00903BCB" w14:paraId="437FE3CA"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19A02664" w14:textId="77777777" w:rsidR="00145791" w:rsidRPr="00903BCB" w:rsidRDefault="00145791" w:rsidP="00145791">
            <w:pPr>
              <w:ind w:left="0" w:right="0"/>
              <w:jc w:val="left"/>
              <w:rPr>
                <w:sz w:val="24"/>
                <w:szCs w:val="24"/>
              </w:rPr>
            </w:pPr>
            <w:r w:rsidRPr="00903BCB">
              <w:rPr>
                <w:sz w:val="24"/>
                <w:szCs w:val="24"/>
              </w:rPr>
              <w:t>Balqa</w:t>
            </w:r>
          </w:p>
        </w:tc>
        <w:tc>
          <w:tcPr>
            <w:tcW w:w="2337" w:type="pct"/>
            <w:tcBorders>
              <w:top w:val="nil"/>
              <w:left w:val="nil"/>
              <w:bottom w:val="single" w:sz="4" w:space="0" w:color="auto"/>
              <w:right w:val="single" w:sz="4" w:space="0" w:color="auto"/>
            </w:tcBorders>
            <w:shd w:val="clear" w:color="auto" w:fill="auto"/>
            <w:noWrap/>
            <w:vAlign w:val="center"/>
            <w:hideMark/>
          </w:tcPr>
          <w:p w14:paraId="2FED806D" w14:textId="77777777" w:rsidR="00145791" w:rsidRPr="00903BCB" w:rsidRDefault="00145791" w:rsidP="004F06B8">
            <w:pPr>
              <w:ind w:left="0" w:right="0"/>
              <w:jc w:val="center"/>
              <w:rPr>
                <w:sz w:val="24"/>
                <w:szCs w:val="24"/>
              </w:rPr>
            </w:pPr>
            <w:r w:rsidRPr="00903BCB">
              <w:rPr>
                <w:sz w:val="24"/>
                <w:szCs w:val="24"/>
              </w:rPr>
              <w:t>19.70%</w:t>
            </w:r>
          </w:p>
        </w:tc>
        <w:tc>
          <w:tcPr>
            <w:tcW w:w="1639" w:type="pct"/>
            <w:tcBorders>
              <w:top w:val="nil"/>
              <w:left w:val="nil"/>
              <w:bottom w:val="single" w:sz="4" w:space="0" w:color="auto"/>
              <w:right w:val="single" w:sz="8" w:space="0" w:color="auto"/>
            </w:tcBorders>
            <w:shd w:val="clear" w:color="auto" w:fill="auto"/>
            <w:noWrap/>
            <w:vAlign w:val="center"/>
            <w:hideMark/>
          </w:tcPr>
          <w:p w14:paraId="4564B4FB" w14:textId="77777777" w:rsidR="00145791" w:rsidRPr="00903BCB" w:rsidRDefault="00145791" w:rsidP="004F06B8">
            <w:pPr>
              <w:ind w:left="0" w:right="0"/>
              <w:jc w:val="center"/>
              <w:rPr>
                <w:sz w:val="24"/>
                <w:szCs w:val="24"/>
              </w:rPr>
            </w:pPr>
            <w:r w:rsidRPr="00903BCB">
              <w:rPr>
                <w:sz w:val="24"/>
                <w:szCs w:val="24"/>
              </w:rPr>
              <w:t>13.6%</w:t>
            </w:r>
          </w:p>
        </w:tc>
      </w:tr>
      <w:tr w:rsidR="00145791" w:rsidRPr="00903BCB" w14:paraId="2817F6C5"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1C5297B9" w14:textId="77777777" w:rsidR="00145791" w:rsidRPr="00903BCB" w:rsidRDefault="00145791" w:rsidP="00145791">
            <w:pPr>
              <w:ind w:left="0" w:right="0"/>
              <w:jc w:val="left"/>
              <w:rPr>
                <w:sz w:val="24"/>
                <w:szCs w:val="24"/>
              </w:rPr>
            </w:pPr>
            <w:r w:rsidRPr="00903BCB">
              <w:rPr>
                <w:sz w:val="24"/>
                <w:szCs w:val="24"/>
              </w:rPr>
              <w:t>Madaba</w:t>
            </w:r>
          </w:p>
        </w:tc>
        <w:tc>
          <w:tcPr>
            <w:tcW w:w="2337" w:type="pct"/>
            <w:tcBorders>
              <w:top w:val="nil"/>
              <w:left w:val="nil"/>
              <w:bottom w:val="single" w:sz="4" w:space="0" w:color="auto"/>
              <w:right w:val="single" w:sz="4" w:space="0" w:color="auto"/>
            </w:tcBorders>
            <w:shd w:val="clear" w:color="auto" w:fill="auto"/>
            <w:noWrap/>
            <w:vAlign w:val="center"/>
            <w:hideMark/>
          </w:tcPr>
          <w:p w14:paraId="279357CB" w14:textId="77777777" w:rsidR="00145791" w:rsidRPr="00903BCB" w:rsidRDefault="00145791" w:rsidP="004F06B8">
            <w:pPr>
              <w:ind w:left="0" w:right="0"/>
              <w:jc w:val="center"/>
              <w:rPr>
                <w:sz w:val="24"/>
                <w:szCs w:val="24"/>
              </w:rPr>
            </w:pPr>
            <w:r w:rsidRPr="00903BCB">
              <w:rPr>
                <w:sz w:val="24"/>
                <w:szCs w:val="24"/>
              </w:rPr>
              <w:t>14.90%</w:t>
            </w:r>
          </w:p>
        </w:tc>
        <w:tc>
          <w:tcPr>
            <w:tcW w:w="1639" w:type="pct"/>
            <w:tcBorders>
              <w:top w:val="nil"/>
              <w:left w:val="nil"/>
              <w:bottom w:val="single" w:sz="4" w:space="0" w:color="auto"/>
              <w:right w:val="single" w:sz="8" w:space="0" w:color="auto"/>
            </w:tcBorders>
            <w:shd w:val="clear" w:color="auto" w:fill="auto"/>
            <w:noWrap/>
            <w:vAlign w:val="center"/>
            <w:hideMark/>
          </w:tcPr>
          <w:p w14:paraId="5A9BDA71" w14:textId="77777777" w:rsidR="00145791" w:rsidRPr="00903BCB" w:rsidRDefault="00145791" w:rsidP="004F06B8">
            <w:pPr>
              <w:ind w:left="0" w:right="0"/>
              <w:jc w:val="center"/>
              <w:rPr>
                <w:sz w:val="24"/>
                <w:szCs w:val="24"/>
              </w:rPr>
            </w:pPr>
            <w:r w:rsidRPr="00903BCB">
              <w:rPr>
                <w:sz w:val="24"/>
                <w:szCs w:val="24"/>
              </w:rPr>
              <w:t>15.3%</w:t>
            </w:r>
          </w:p>
        </w:tc>
      </w:tr>
      <w:tr w:rsidR="00145791" w:rsidRPr="00903BCB" w14:paraId="43CB999E"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3A62B59D" w14:textId="77777777" w:rsidR="00145791" w:rsidRPr="00903BCB" w:rsidRDefault="00145791" w:rsidP="00145791">
            <w:pPr>
              <w:ind w:left="0" w:right="0"/>
              <w:jc w:val="left"/>
              <w:rPr>
                <w:sz w:val="24"/>
                <w:szCs w:val="24"/>
              </w:rPr>
            </w:pPr>
            <w:r w:rsidRPr="00903BCB">
              <w:rPr>
                <w:sz w:val="24"/>
                <w:szCs w:val="24"/>
              </w:rPr>
              <w:t>Karak</w:t>
            </w:r>
          </w:p>
        </w:tc>
        <w:tc>
          <w:tcPr>
            <w:tcW w:w="2337" w:type="pct"/>
            <w:tcBorders>
              <w:top w:val="nil"/>
              <w:left w:val="nil"/>
              <w:bottom w:val="single" w:sz="4" w:space="0" w:color="auto"/>
              <w:right w:val="single" w:sz="4" w:space="0" w:color="auto"/>
            </w:tcBorders>
            <w:shd w:val="clear" w:color="auto" w:fill="auto"/>
            <w:noWrap/>
            <w:vAlign w:val="center"/>
            <w:hideMark/>
          </w:tcPr>
          <w:p w14:paraId="77DE1DE6" w14:textId="77777777" w:rsidR="00145791" w:rsidRPr="00903BCB" w:rsidRDefault="00145791" w:rsidP="004F06B8">
            <w:pPr>
              <w:ind w:left="0" w:right="0"/>
              <w:jc w:val="center"/>
              <w:rPr>
                <w:sz w:val="24"/>
                <w:szCs w:val="24"/>
              </w:rPr>
            </w:pPr>
            <w:r w:rsidRPr="00903BCB">
              <w:rPr>
                <w:sz w:val="24"/>
                <w:szCs w:val="24"/>
              </w:rPr>
              <w:t>17.10%</w:t>
            </w:r>
          </w:p>
        </w:tc>
        <w:tc>
          <w:tcPr>
            <w:tcW w:w="1639" w:type="pct"/>
            <w:tcBorders>
              <w:top w:val="nil"/>
              <w:left w:val="nil"/>
              <w:bottom w:val="single" w:sz="4" w:space="0" w:color="auto"/>
              <w:right w:val="single" w:sz="8" w:space="0" w:color="auto"/>
            </w:tcBorders>
            <w:shd w:val="clear" w:color="auto" w:fill="auto"/>
            <w:noWrap/>
            <w:vAlign w:val="center"/>
            <w:hideMark/>
          </w:tcPr>
          <w:p w14:paraId="1F2E06E7" w14:textId="77777777" w:rsidR="00145791" w:rsidRPr="00903BCB" w:rsidRDefault="00145791" w:rsidP="004F06B8">
            <w:pPr>
              <w:ind w:left="0" w:right="0"/>
              <w:jc w:val="center"/>
              <w:rPr>
                <w:sz w:val="24"/>
                <w:szCs w:val="24"/>
              </w:rPr>
            </w:pPr>
            <w:r w:rsidRPr="00903BCB">
              <w:rPr>
                <w:sz w:val="24"/>
                <w:szCs w:val="24"/>
              </w:rPr>
              <w:t>16.0%</w:t>
            </w:r>
          </w:p>
        </w:tc>
      </w:tr>
      <w:tr w:rsidR="00145791" w:rsidRPr="00903BCB" w14:paraId="00C2462E"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74D12A19" w14:textId="77777777" w:rsidR="00145791" w:rsidRPr="00903BCB" w:rsidRDefault="00145791" w:rsidP="00145791">
            <w:pPr>
              <w:ind w:left="0" w:right="0"/>
              <w:jc w:val="left"/>
              <w:rPr>
                <w:sz w:val="24"/>
                <w:szCs w:val="24"/>
              </w:rPr>
            </w:pPr>
            <w:r w:rsidRPr="00903BCB">
              <w:rPr>
                <w:sz w:val="24"/>
                <w:szCs w:val="24"/>
              </w:rPr>
              <w:t>Aqaba</w:t>
            </w:r>
          </w:p>
        </w:tc>
        <w:tc>
          <w:tcPr>
            <w:tcW w:w="2337" w:type="pct"/>
            <w:tcBorders>
              <w:top w:val="nil"/>
              <w:left w:val="nil"/>
              <w:bottom w:val="single" w:sz="4" w:space="0" w:color="auto"/>
              <w:right w:val="single" w:sz="4" w:space="0" w:color="auto"/>
            </w:tcBorders>
            <w:shd w:val="clear" w:color="auto" w:fill="auto"/>
            <w:noWrap/>
            <w:vAlign w:val="center"/>
            <w:hideMark/>
          </w:tcPr>
          <w:p w14:paraId="1748E9E9" w14:textId="77777777" w:rsidR="00145791" w:rsidRPr="00903BCB" w:rsidRDefault="00145791" w:rsidP="004F06B8">
            <w:pPr>
              <w:ind w:left="0" w:right="0"/>
              <w:jc w:val="center"/>
              <w:rPr>
                <w:sz w:val="24"/>
                <w:szCs w:val="24"/>
              </w:rPr>
            </w:pPr>
            <w:r w:rsidRPr="00903BCB">
              <w:rPr>
                <w:sz w:val="24"/>
                <w:szCs w:val="24"/>
              </w:rPr>
              <w:t>11.80%</w:t>
            </w:r>
          </w:p>
        </w:tc>
        <w:tc>
          <w:tcPr>
            <w:tcW w:w="1639" w:type="pct"/>
            <w:tcBorders>
              <w:top w:val="nil"/>
              <w:left w:val="nil"/>
              <w:bottom w:val="single" w:sz="4" w:space="0" w:color="auto"/>
              <w:right w:val="single" w:sz="8" w:space="0" w:color="auto"/>
            </w:tcBorders>
            <w:shd w:val="clear" w:color="auto" w:fill="auto"/>
            <w:noWrap/>
            <w:vAlign w:val="bottom"/>
            <w:hideMark/>
          </w:tcPr>
          <w:p w14:paraId="6342479D" w14:textId="77777777" w:rsidR="00145791" w:rsidRPr="00903BCB" w:rsidRDefault="00145791" w:rsidP="004F06B8">
            <w:pPr>
              <w:ind w:left="0" w:right="0"/>
              <w:jc w:val="center"/>
              <w:rPr>
                <w:sz w:val="24"/>
                <w:szCs w:val="24"/>
              </w:rPr>
            </w:pPr>
            <w:r w:rsidRPr="00903BCB">
              <w:rPr>
                <w:sz w:val="24"/>
                <w:szCs w:val="24"/>
              </w:rPr>
              <w:t>12.4%</w:t>
            </w:r>
          </w:p>
        </w:tc>
      </w:tr>
      <w:tr w:rsidR="00145791" w:rsidRPr="00903BCB" w14:paraId="62C0574D"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380AF4A7" w14:textId="77777777" w:rsidR="00145791" w:rsidRPr="00903BCB" w:rsidRDefault="00145791" w:rsidP="00145791">
            <w:pPr>
              <w:ind w:left="0" w:right="0"/>
              <w:jc w:val="left"/>
              <w:rPr>
                <w:sz w:val="24"/>
                <w:szCs w:val="24"/>
              </w:rPr>
            </w:pPr>
            <w:r w:rsidRPr="00903BCB">
              <w:rPr>
                <w:sz w:val="24"/>
                <w:szCs w:val="24"/>
              </w:rPr>
              <w:t>Ma'an</w:t>
            </w:r>
          </w:p>
        </w:tc>
        <w:tc>
          <w:tcPr>
            <w:tcW w:w="2337" w:type="pct"/>
            <w:tcBorders>
              <w:top w:val="nil"/>
              <w:left w:val="nil"/>
              <w:bottom w:val="single" w:sz="4" w:space="0" w:color="auto"/>
              <w:right w:val="single" w:sz="4" w:space="0" w:color="auto"/>
            </w:tcBorders>
            <w:shd w:val="clear" w:color="auto" w:fill="auto"/>
            <w:noWrap/>
            <w:vAlign w:val="center"/>
            <w:hideMark/>
          </w:tcPr>
          <w:p w14:paraId="17588F60" w14:textId="77777777" w:rsidR="00145791" w:rsidRPr="00903BCB" w:rsidRDefault="00145791" w:rsidP="004F06B8">
            <w:pPr>
              <w:ind w:left="0" w:right="0"/>
              <w:jc w:val="center"/>
              <w:rPr>
                <w:sz w:val="24"/>
                <w:szCs w:val="24"/>
              </w:rPr>
            </w:pPr>
            <w:r w:rsidRPr="00903BCB">
              <w:rPr>
                <w:sz w:val="24"/>
                <w:szCs w:val="24"/>
              </w:rPr>
              <w:t>24.20%</w:t>
            </w:r>
          </w:p>
        </w:tc>
        <w:tc>
          <w:tcPr>
            <w:tcW w:w="1639" w:type="pct"/>
            <w:tcBorders>
              <w:top w:val="nil"/>
              <w:left w:val="nil"/>
              <w:bottom w:val="single" w:sz="4" w:space="0" w:color="auto"/>
              <w:right w:val="single" w:sz="8" w:space="0" w:color="auto"/>
            </w:tcBorders>
            <w:shd w:val="clear" w:color="auto" w:fill="auto"/>
            <w:noWrap/>
            <w:vAlign w:val="center"/>
            <w:hideMark/>
          </w:tcPr>
          <w:p w14:paraId="3B81199C" w14:textId="77777777" w:rsidR="00145791" w:rsidRPr="00903BCB" w:rsidRDefault="00145791" w:rsidP="004F06B8">
            <w:pPr>
              <w:ind w:left="0" w:right="0"/>
              <w:jc w:val="center"/>
              <w:rPr>
                <w:sz w:val="24"/>
                <w:szCs w:val="24"/>
              </w:rPr>
            </w:pPr>
            <w:r w:rsidRPr="00903BCB">
              <w:rPr>
                <w:sz w:val="24"/>
                <w:szCs w:val="24"/>
              </w:rPr>
              <w:t>17.7%</w:t>
            </w:r>
          </w:p>
        </w:tc>
      </w:tr>
      <w:tr w:rsidR="00145791" w:rsidRPr="00903BCB" w14:paraId="4A8A6C06" w14:textId="77777777" w:rsidTr="004F06B8">
        <w:trPr>
          <w:jc w:val="center"/>
        </w:trPr>
        <w:tc>
          <w:tcPr>
            <w:tcW w:w="1025" w:type="pct"/>
            <w:tcBorders>
              <w:top w:val="nil"/>
              <w:left w:val="single" w:sz="8" w:space="0" w:color="auto"/>
              <w:bottom w:val="single" w:sz="4" w:space="0" w:color="auto"/>
              <w:right w:val="single" w:sz="4" w:space="0" w:color="auto"/>
            </w:tcBorders>
            <w:shd w:val="clear" w:color="auto" w:fill="auto"/>
            <w:vAlign w:val="center"/>
            <w:hideMark/>
          </w:tcPr>
          <w:p w14:paraId="07E218D1" w14:textId="77777777" w:rsidR="00145791" w:rsidRPr="00903BCB" w:rsidRDefault="00145791" w:rsidP="00145791">
            <w:pPr>
              <w:ind w:left="0" w:right="0"/>
              <w:jc w:val="left"/>
              <w:rPr>
                <w:sz w:val="24"/>
                <w:szCs w:val="24"/>
              </w:rPr>
            </w:pPr>
            <w:r w:rsidRPr="00903BCB">
              <w:rPr>
                <w:sz w:val="24"/>
                <w:szCs w:val="24"/>
              </w:rPr>
              <w:t>Tafiela</w:t>
            </w:r>
          </w:p>
        </w:tc>
        <w:tc>
          <w:tcPr>
            <w:tcW w:w="2337" w:type="pct"/>
            <w:tcBorders>
              <w:top w:val="nil"/>
              <w:left w:val="nil"/>
              <w:bottom w:val="single" w:sz="4" w:space="0" w:color="auto"/>
              <w:right w:val="single" w:sz="4" w:space="0" w:color="auto"/>
            </w:tcBorders>
            <w:shd w:val="clear" w:color="auto" w:fill="auto"/>
            <w:noWrap/>
            <w:vAlign w:val="center"/>
            <w:hideMark/>
          </w:tcPr>
          <w:p w14:paraId="07DEB65D" w14:textId="77777777" w:rsidR="00145791" w:rsidRPr="00903BCB" w:rsidRDefault="00145791" w:rsidP="004F06B8">
            <w:pPr>
              <w:ind w:left="0" w:right="0"/>
              <w:jc w:val="center"/>
              <w:rPr>
                <w:sz w:val="24"/>
                <w:szCs w:val="24"/>
              </w:rPr>
            </w:pPr>
            <w:r w:rsidRPr="00903BCB">
              <w:rPr>
                <w:sz w:val="24"/>
                <w:szCs w:val="24"/>
              </w:rPr>
              <w:t>21.10%</w:t>
            </w:r>
          </w:p>
        </w:tc>
        <w:tc>
          <w:tcPr>
            <w:tcW w:w="1639" w:type="pct"/>
            <w:tcBorders>
              <w:top w:val="nil"/>
              <w:left w:val="nil"/>
              <w:bottom w:val="single" w:sz="4" w:space="0" w:color="auto"/>
              <w:right w:val="single" w:sz="8" w:space="0" w:color="auto"/>
            </w:tcBorders>
            <w:shd w:val="clear" w:color="auto" w:fill="auto"/>
            <w:noWrap/>
            <w:vAlign w:val="center"/>
            <w:hideMark/>
          </w:tcPr>
          <w:p w14:paraId="0606B640" w14:textId="77777777" w:rsidR="00145791" w:rsidRPr="00903BCB" w:rsidRDefault="00145791" w:rsidP="004F06B8">
            <w:pPr>
              <w:ind w:left="0" w:right="0"/>
              <w:jc w:val="center"/>
              <w:rPr>
                <w:sz w:val="24"/>
                <w:szCs w:val="24"/>
              </w:rPr>
            </w:pPr>
            <w:r w:rsidRPr="00903BCB">
              <w:rPr>
                <w:sz w:val="24"/>
                <w:szCs w:val="24"/>
              </w:rPr>
              <w:t>15.6%</w:t>
            </w:r>
          </w:p>
        </w:tc>
      </w:tr>
      <w:tr w:rsidR="00145791" w:rsidRPr="00903BCB" w14:paraId="335BA8C9" w14:textId="77777777" w:rsidTr="004F06B8">
        <w:trPr>
          <w:jc w:val="center"/>
        </w:trPr>
        <w:tc>
          <w:tcPr>
            <w:tcW w:w="1025"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3B5EF38D" w14:textId="77777777" w:rsidR="00145791" w:rsidRPr="00903BCB" w:rsidRDefault="00145791" w:rsidP="00145791">
            <w:pPr>
              <w:ind w:left="0" w:right="0"/>
              <w:jc w:val="left"/>
              <w:rPr>
                <w:b/>
                <w:bCs/>
                <w:sz w:val="24"/>
                <w:szCs w:val="24"/>
              </w:rPr>
            </w:pPr>
            <w:r w:rsidRPr="00903BCB">
              <w:rPr>
                <w:b/>
                <w:bCs/>
                <w:sz w:val="24"/>
                <w:szCs w:val="24"/>
              </w:rPr>
              <w:t>Jordan</w:t>
            </w:r>
          </w:p>
        </w:tc>
        <w:tc>
          <w:tcPr>
            <w:tcW w:w="2337" w:type="pct"/>
            <w:tcBorders>
              <w:top w:val="single" w:sz="4" w:space="0" w:color="auto"/>
              <w:left w:val="nil"/>
              <w:bottom w:val="single" w:sz="8" w:space="0" w:color="auto"/>
              <w:right w:val="single" w:sz="4" w:space="0" w:color="auto"/>
            </w:tcBorders>
            <w:shd w:val="clear" w:color="auto" w:fill="auto"/>
            <w:noWrap/>
            <w:vAlign w:val="center"/>
            <w:hideMark/>
          </w:tcPr>
          <w:p w14:paraId="44B24C1A" w14:textId="77777777" w:rsidR="00145791" w:rsidRPr="00903BCB" w:rsidRDefault="00145791" w:rsidP="004F06B8">
            <w:pPr>
              <w:ind w:left="0" w:right="0"/>
              <w:jc w:val="center"/>
              <w:rPr>
                <w:b/>
                <w:bCs/>
                <w:sz w:val="24"/>
                <w:szCs w:val="24"/>
              </w:rPr>
            </w:pPr>
            <w:r w:rsidRPr="00903BCB">
              <w:rPr>
                <w:b/>
                <w:bCs/>
                <w:sz w:val="24"/>
                <w:szCs w:val="24"/>
              </w:rPr>
              <w:t>13.30%</w:t>
            </w:r>
          </w:p>
        </w:tc>
        <w:tc>
          <w:tcPr>
            <w:tcW w:w="1639" w:type="pct"/>
            <w:tcBorders>
              <w:top w:val="single" w:sz="4" w:space="0" w:color="auto"/>
              <w:left w:val="nil"/>
              <w:bottom w:val="single" w:sz="8" w:space="0" w:color="auto"/>
              <w:right w:val="single" w:sz="8" w:space="0" w:color="auto"/>
            </w:tcBorders>
            <w:shd w:val="clear" w:color="auto" w:fill="auto"/>
            <w:noWrap/>
            <w:vAlign w:val="center"/>
            <w:hideMark/>
          </w:tcPr>
          <w:p w14:paraId="071E6029" w14:textId="77777777" w:rsidR="00145791" w:rsidRPr="00903BCB" w:rsidRDefault="00145791" w:rsidP="004F06B8">
            <w:pPr>
              <w:ind w:left="0" w:right="0"/>
              <w:jc w:val="center"/>
              <w:rPr>
                <w:b/>
                <w:bCs/>
                <w:sz w:val="24"/>
                <w:szCs w:val="24"/>
              </w:rPr>
            </w:pPr>
            <w:r w:rsidRPr="00903BCB">
              <w:rPr>
                <w:b/>
                <w:bCs/>
                <w:sz w:val="24"/>
                <w:szCs w:val="24"/>
              </w:rPr>
              <w:t>13.3%</w:t>
            </w:r>
          </w:p>
        </w:tc>
      </w:tr>
    </w:tbl>
    <w:p w14:paraId="5E670115" w14:textId="77777777" w:rsidR="00145791" w:rsidRPr="00903BCB" w:rsidRDefault="00145791" w:rsidP="00C00ABA">
      <w:pPr>
        <w:ind w:left="720" w:right="0" w:firstLine="720"/>
        <w:jc w:val="left"/>
        <w:rPr>
          <w:sz w:val="24"/>
          <w:szCs w:val="24"/>
        </w:rPr>
      </w:pPr>
      <w:r w:rsidRPr="00903BCB">
        <w:rPr>
          <w:sz w:val="24"/>
          <w:szCs w:val="24"/>
        </w:rPr>
        <w:t>Sources: Department of Statistics, Poverty Statistics Division, 2008</w:t>
      </w:r>
      <w:r w:rsidR="00B95B09" w:rsidRPr="00903BCB">
        <w:rPr>
          <w:rStyle w:val="FootnoteReference"/>
          <w:sz w:val="24"/>
          <w:szCs w:val="24"/>
        </w:rPr>
        <w:footnoteReference w:id="12"/>
      </w:r>
    </w:p>
    <w:p w14:paraId="30A16935" w14:textId="77777777" w:rsidR="0006468A" w:rsidRPr="00903BCB" w:rsidRDefault="0006468A" w:rsidP="002513C2">
      <w:pPr>
        <w:spacing w:line="360" w:lineRule="auto"/>
        <w:ind w:left="0" w:right="0"/>
        <w:rPr>
          <w:sz w:val="24"/>
          <w:szCs w:val="24"/>
        </w:rPr>
      </w:pPr>
    </w:p>
    <w:p w14:paraId="3B4DE348" w14:textId="113686EC" w:rsidR="008067C2" w:rsidRPr="00903BCB" w:rsidRDefault="00983BD9" w:rsidP="002513C2">
      <w:pPr>
        <w:spacing w:line="360" w:lineRule="auto"/>
        <w:ind w:left="0" w:right="0"/>
        <w:rPr>
          <w:bCs/>
          <w:sz w:val="24"/>
          <w:szCs w:val="24"/>
        </w:rPr>
      </w:pPr>
      <w:r w:rsidRPr="00903BCB">
        <w:rPr>
          <w:sz w:val="24"/>
          <w:szCs w:val="24"/>
        </w:rPr>
        <w:t xml:space="preserve">The above analysis leads to two </w:t>
      </w:r>
      <w:r w:rsidR="00C26753" w:rsidRPr="00903BCB">
        <w:rPr>
          <w:sz w:val="24"/>
          <w:szCs w:val="24"/>
        </w:rPr>
        <w:t>conclusions. First, there are significant</w:t>
      </w:r>
      <w:r w:rsidRPr="00903BCB">
        <w:rPr>
          <w:sz w:val="24"/>
          <w:szCs w:val="24"/>
        </w:rPr>
        <w:t xml:space="preserve"> differences in governorates' population</w:t>
      </w:r>
      <w:r w:rsidR="0020650D" w:rsidRPr="00903BCB">
        <w:rPr>
          <w:sz w:val="24"/>
          <w:szCs w:val="24"/>
        </w:rPr>
        <w:t xml:space="preserve"> and area</w:t>
      </w:r>
      <w:r w:rsidR="0029593F" w:rsidRPr="00903BCB">
        <w:rPr>
          <w:sz w:val="24"/>
          <w:szCs w:val="24"/>
        </w:rPr>
        <w:t>. This</w:t>
      </w:r>
      <w:r w:rsidR="00C26753" w:rsidRPr="00903BCB">
        <w:rPr>
          <w:sz w:val="24"/>
          <w:szCs w:val="24"/>
        </w:rPr>
        <w:t xml:space="preserve"> reality is compounded by the unbalanced distribution of population across </w:t>
      </w:r>
      <w:r w:rsidRPr="00903BCB">
        <w:rPr>
          <w:sz w:val="24"/>
          <w:szCs w:val="24"/>
        </w:rPr>
        <w:t>governorates.</w:t>
      </w:r>
      <w:r w:rsidRPr="00903BCB">
        <w:rPr>
          <w:b/>
          <w:sz w:val="24"/>
          <w:szCs w:val="24"/>
        </w:rPr>
        <w:t xml:space="preserve"> </w:t>
      </w:r>
      <w:r w:rsidR="0029593F" w:rsidRPr="00903BCB">
        <w:rPr>
          <w:bCs/>
          <w:sz w:val="24"/>
          <w:szCs w:val="24"/>
        </w:rPr>
        <w:t>S</w:t>
      </w:r>
      <w:r w:rsidRPr="00903BCB">
        <w:rPr>
          <w:bCs/>
          <w:sz w:val="24"/>
          <w:szCs w:val="24"/>
        </w:rPr>
        <w:t xml:space="preserve">econd, due </w:t>
      </w:r>
      <w:r w:rsidR="0020650D" w:rsidRPr="00903BCB">
        <w:rPr>
          <w:bCs/>
          <w:sz w:val="24"/>
          <w:szCs w:val="24"/>
        </w:rPr>
        <w:t>to differences</w:t>
      </w:r>
      <w:r w:rsidRPr="00903BCB">
        <w:rPr>
          <w:bCs/>
          <w:sz w:val="24"/>
          <w:szCs w:val="24"/>
        </w:rPr>
        <w:t xml:space="preserve"> i</w:t>
      </w:r>
      <w:r w:rsidR="0020650D" w:rsidRPr="00903BCB">
        <w:rPr>
          <w:bCs/>
          <w:sz w:val="24"/>
          <w:szCs w:val="24"/>
        </w:rPr>
        <w:t xml:space="preserve">n </w:t>
      </w:r>
      <w:r w:rsidR="0029593F" w:rsidRPr="00903BCB">
        <w:rPr>
          <w:bCs/>
          <w:sz w:val="24"/>
          <w:szCs w:val="24"/>
        </w:rPr>
        <w:t>economic opportunities</w:t>
      </w:r>
      <w:r w:rsidR="000F491D" w:rsidRPr="00903BCB">
        <w:rPr>
          <w:bCs/>
          <w:sz w:val="24"/>
          <w:szCs w:val="24"/>
        </w:rPr>
        <w:t>,</w:t>
      </w:r>
      <w:r w:rsidRPr="00903BCB">
        <w:rPr>
          <w:bCs/>
          <w:sz w:val="24"/>
          <w:szCs w:val="24"/>
        </w:rPr>
        <w:t xml:space="preserve"> there are </w:t>
      </w:r>
      <w:r w:rsidR="0029593F" w:rsidRPr="00903BCB">
        <w:rPr>
          <w:bCs/>
          <w:sz w:val="24"/>
          <w:szCs w:val="24"/>
        </w:rPr>
        <w:t xml:space="preserve">also significant </w:t>
      </w:r>
      <w:r w:rsidRPr="00903BCB">
        <w:rPr>
          <w:bCs/>
          <w:sz w:val="24"/>
          <w:szCs w:val="24"/>
        </w:rPr>
        <w:t>differences in poverty and unemployment rates</w:t>
      </w:r>
      <w:r w:rsidR="0029593F" w:rsidRPr="00903BCB">
        <w:rPr>
          <w:bCs/>
          <w:sz w:val="24"/>
          <w:szCs w:val="24"/>
        </w:rPr>
        <w:t xml:space="preserve"> across governorates</w:t>
      </w:r>
      <w:r w:rsidRPr="00903BCB">
        <w:rPr>
          <w:bCs/>
          <w:sz w:val="24"/>
          <w:szCs w:val="24"/>
        </w:rPr>
        <w:t xml:space="preserve">. </w:t>
      </w:r>
      <w:r w:rsidR="0029593F" w:rsidRPr="00903BCB">
        <w:rPr>
          <w:bCs/>
          <w:sz w:val="24"/>
          <w:szCs w:val="24"/>
        </w:rPr>
        <w:t>T</w:t>
      </w:r>
      <w:r w:rsidRPr="00903BCB">
        <w:rPr>
          <w:bCs/>
          <w:sz w:val="24"/>
          <w:szCs w:val="24"/>
        </w:rPr>
        <w:t>he proposed formula</w:t>
      </w:r>
      <w:r w:rsidR="00681E9A" w:rsidRPr="00903BCB">
        <w:rPr>
          <w:bCs/>
          <w:sz w:val="24"/>
          <w:szCs w:val="24"/>
        </w:rPr>
        <w:t xml:space="preserve"> should consider these parameters</w:t>
      </w:r>
      <w:r w:rsidRPr="00903BCB">
        <w:rPr>
          <w:bCs/>
          <w:sz w:val="24"/>
          <w:szCs w:val="24"/>
        </w:rPr>
        <w:t xml:space="preserve"> </w:t>
      </w:r>
      <w:r w:rsidR="000F491D" w:rsidRPr="00903BCB">
        <w:rPr>
          <w:bCs/>
          <w:sz w:val="24"/>
          <w:szCs w:val="24"/>
        </w:rPr>
        <w:t>when</w:t>
      </w:r>
      <w:r w:rsidR="0029593F" w:rsidRPr="00903BCB">
        <w:rPr>
          <w:bCs/>
          <w:sz w:val="24"/>
          <w:szCs w:val="24"/>
        </w:rPr>
        <w:t xml:space="preserve"> address</w:t>
      </w:r>
      <w:r w:rsidR="000F491D" w:rsidRPr="00903BCB">
        <w:rPr>
          <w:bCs/>
          <w:sz w:val="24"/>
          <w:szCs w:val="24"/>
        </w:rPr>
        <w:t>ing</w:t>
      </w:r>
      <w:r w:rsidR="0029593F" w:rsidRPr="00903BCB">
        <w:rPr>
          <w:bCs/>
          <w:sz w:val="24"/>
          <w:szCs w:val="24"/>
        </w:rPr>
        <w:t xml:space="preserve"> </w:t>
      </w:r>
      <w:r w:rsidRPr="00903BCB">
        <w:rPr>
          <w:bCs/>
          <w:sz w:val="24"/>
          <w:szCs w:val="24"/>
        </w:rPr>
        <w:t>the</w:t>
      </w:r>
      <w:r w:rsidR="0029593F" w:rsidRPr="00903BCB">
        <w:rPr>
          <w:bCs/>
          <w:sz w:val="24"/>
          <w:szCs w:val="24"/>
        </w:rPr>
        <w:t xml:space="preserve"> existing</w:t>
      </w:r>
      <w:r w:rsidR="00537AC3" w:rsidRPr="00903BCB">
        <w:rPr>
          <w:bCs/>
          <w:sz w:val="24"/>
          <w:szCs w:val="24"/>
        </w:rPr>
        <w:t xml:space="preserve"> </w:t>
      </w:r>
      <w:r w:rsidR="003104FA" w:rsidRPr="00903BCB">
        <w:rPr>
          <w:bCs/>
          <w:sz w:val="24"/>
          <w:szCs w:val="24"/>
        </w:rPr>
        <w:t>social an</w:t>
      </w:r>
      <w:r w:rsidR="000F491D" w:rsidRPr="00903BCB">
        <w:rPr>
          <w:bCs/>
          <w:sz w:val="24"/>
          <w:szCs w:val="24"/>
        </w:rPr>
        <w:t>d</w:t>
      </w:r>
      <w:r w:rsidR="003104FA" w:rsidRPr="00903BCB">
        <w:rPr>
          <w:bCs/>
          <w:sz w:val="24"/>
          <w:szCs w:val="24"/>
        </w:rPr>
        <w:t xml:space="preserve"> economic </w:t>
      </w:r>
      <w:r w:rsidR="00537AC3" w:rsidRPr="00903BCB">
        <w:rPr>
          <w:bCs/>
          <w:sz w:val="24"/>
          <w:szCs w:val="24"/>
        </w:rPr>
        <w:t>gap</w:t>
      </w:r>
      <w:r w:rsidR="007F347A" w:rsidRPr="00903BCB">
        <w:rPr>
          <w:bCs/>
          <w:sz w:val="24"/>
          <w:szCs w:val="24"/>
        </w:rPr>
        <w:t>s</w:t>
      </w:r>
      <w:r w:rsidR="00537AC3" w:rsidRPr="00903BCB">
        <w:rPr>
          <w:bCs/>
          <w:sz w:val="24"/>
          <w:szCs w:val="24"/>
        </w:rPr>
        <w:t xml:space="preserve"> between governorates.</w:t>
      </w:r>
    </w:p>
    <w:p w14:paraId="36151082" w14:textId="77777777" w:rsidR="00983BD9" w:rsidRPr="00903BCB" w:rsidRDefault="00983BD9" w:rsidP="005201D9">
      <w:pPr>
        <w:spacing w:line="360" w:lineRule="auto"/>
        <w:ind w:left="0" w:right="0"/>
        <w:jc w:val="left"/>
        <w:rPr>
          <w:b/>
          <w:sz w:val="24"/>
          <w:szCs w:val="24"/>
        </w:rPr>
      </w:pPr>
    </w:p>
    <w:p w14:paraId="61270C6A" w14:textId="6E356E27" w:rsidR="00203ACF" w:rsidRPr="00903BCB" w:rsidRDefault="00DC2E1C" w:rsidP="001823C5">
      <w:pPr>
        <w:spacing w:line="360" w:lineRule="auto"/>
        <w:ind w:left="0" w:right="0"/>
        <w:jc w:val="left"/>
        <w:rPr>
          <w:b/>
          <w:sz w:val="24"/>
          <w:szCs w:val="24"/>
        </w:rPr>
      </w:pPr>
      <w:r w:rsidRPr="00903BCB">
        <w:rPr>
          <w:b/>
          <w:sz w:val="24"/>
          <w:szCs w:val="24"/>
        </w:rPr>
        <w:t>5</w:t>
      </w:r>
      <w:r w:rsidR="006A7742" w:rsidRPr="00903BCB">
        <w:rPr>
          <w:b/>
          <w:sz w:val="24"/>
          <w:szCs w:val="24"/>
        </w:rPr>
        <w:t xml:space="preserve">.2 </w:t>
      </w:r>
      <w:r w:rsidR="005201D9" w:rsidRPr="00903BCB">
        <w:rPr>
          <w:b/>
          <w:sz w:val="24"/>
          <w:szCs w:val="24"/>
        </w:rPr>
        <w:t xml:space="preserve">Formula </w:t>
      </w:r>
      <w:r w:rsidR="00153EF9" w:rsidRPr="00903BCB">
        <w:rPr>
          <w:b/>
          <w:sz w:val="24"/>
          <w:szCs w:val="24"/>
        </w:rPr>
        <w:t xml:space="preserve">Parameters’ </w:t>
      </w:r>
      <w:r w:rsidR="005201D9" w:rsidRPr="00903BCB">
        <w:rPr>
          <w:b/>
          <w:sz w:val="24"/>
          <w:szCs w:val="24"/>
        </w:rPr>
        <w:t>Coefficients</w:t>
      </w:r>
      <w:r w:rsidR="00EE5857" w:rsidRPr="00903BCB">
        <w:rPr>
          <w:b/>
          <w:sz w:val="24"/>
          <w:szCs w:val="24"/>
        </w:rPr>
        <w:t xml:space="preserve">: </w:t>
      </w:r>
      <w:r w:rsidR="000F491D" w:rsidRPr="00903BCB">
        <w:rPr>
          <w:b/>
          <w:sz w:val="24"/>
          <w:szCs w:val="24"/>
        </w:rPr>
        <w:t>M</w:t>
      </w:r>
      <w:r w:rsidR="00EE5857" w:rsidRPr="00903BCB">
        <w:rPr>
          <w:b/>
          <w:sz w:val="24"/>
          <w:szCs w:val="24"/>
        </w:rPr>
        <w:t xml:space="preserve">odeling and </w:t>
      </w:r>
      <w:r w:rsidR="000F491D" w:rsidRPr="00903BCB">
        <w:rPr>
          <w:b/>
          <w:sz w:val="24"/>
          <w:szCs w:val="24"/>
        </w:rPr>
        <w:t>D</w:t>
      </w:r>
      <w:r w:rsidR="00EE5857" w:rsidRPr="00903BCB">
        <w:rPr>
          <w:b/>
          <w:sz w:val="24"/>
          <w:szCs w:val="24"/>
        </w:rPr>
        <w:t xml:space="preserve">iscussing </w:t>
      </w:r>
      <w:r w:rsidR="000F491D" w:rsidRPr="00903BCB">
        <w:rPr>
          <w:b/>
          <w:sz w:val="24"/>
          <w:szCs w:val="24"/>
        </w:rPr>
        <w:t>H</w:t>
      </w:r>
      <w:r w:rsidR="00EE5857" w:rsidRPr="00903BCB">
        <w:rPr>
          <w:b/>
          <w:sz w:val="24"/>
          <w:szCs w:val="24"/>
        </w:rPr>
        <w:t xml:space="preserve">istorical </w:t>
      </w:r>
      <w:r w:rsidR="000F491D" w:rsidRPr="00903BCB">
        <w:rPr>
          <w:b/>
          <w:sz w:val="24"/>
          <w:szCs w:val="24"/>
        </w:rPr>
        <w:t>C</w:t>
      </w:r>
      <w:r w:rsidR="00EE5857" w:rsidRPr="00903BCB">
        <w:rPr>
          <w:b/>
          <w:sz w:val="24"/>
          <w:szCs w:val="24"/>
        </w:rPr>
        <w:t xml:space="preserve">apital </w:t>
      </w:r>
      <w:r w:rsidR="000F491D" w:rsidRPr="00903BCB">
        <w:rPr>
          <w:b/>
          <w:sz w:val="24"/>
          <w:szCs w:val="24"/>
        </w:rPr>
        <w:t>T</w:t>
      </w:r>
      <w:r w:rsidR="00EE5857" w:rsidRPr="00903BCB">
        <w:rPr>
          <w:b/>
          <w:sz w:val="24"/>
          <w:szCs w:val="24"/>
        </w:rPr>
        <w:t>ransfers</w:t>
      </w:r>
    </w:p>
    <w:p w14:paraId="32141966" w14:textId="5B94FA62" w:rsidR="008A5535" w:rsidRPr="00903BCB" w:rsidRDefault="008A5535" w:rsidP="008067C2">
      <w:pPr>
        <w:spacing w:line="360" w:lineRule="auto"/>
        <w:ind w:left="0" w:right="0"/>
        <w:rPr>
          <w:sz w:val="24"/>
          <w:szCs w:val="24"/>
        </w:rPr>
      </w:pPr>
      <w:r w:rsidRPr="00903BCB">
        <w:rPr>
          <w:sz w:val="24"/>
          <w:szCs w:val="24"/>
        </w:rPr>
        <w:t>With</w:t>
      </w:r>
      <w:r w:rsidR="005201D9" w:rsidRPr="00903BCB">
        <w:rPr>
          <w:sz w:val="24"/>
          <w:szCs w:val="24"/>
        </w:rPr>
        <w:t xml:space="preserve"> the formula’s parameter</w:t>
      </w:r>
      <w:r w:rsidR="007F347A" w:rsidRPr="00903BCB">
        <w:rPr>
          <w:sz w:val="24"/>
          <w:szCs w:val="24"/>
        </w:rPr>
        <w:t>s</w:t>
      </w:r>
      <w:r w:rsidR="005201D9" w:rsidRPr="00903BCB">
        <w:rPr>
          <w:sz w:val="24"/>
          <w:szCs w:val="24"/>
        </w:rPr>
        <w:t xml:space="preserve"> for Jordan selected</w:t>
      </w:r>
      <w:r w:rsidR="000F491D" w:rsidRPr="00903BCB">
        <w:rPr>
          <w:sz w:val="24"/>
          <w:szCs w:val="24"/>
        </w:rPr>
        <w:t>,</w:t>
      </w:r>
      <w:r w:rsidR="005201D9" w:rsidRPr="00903BCB">
        <w:rPr>
          <w:sz w:val="24"/>
          <w:szCs w:val="24"/>
        </w:rPr>
        <w:t xml:space="preserve"> what follow</w:t>
      </w:r>
      <w:r w:rsidR="00E60CA1" w:rsidRPr="00903BCB">
        <w:rPr>
          <w:sz w:val="24"/>
          <w:szCs w:val="24"/>
        </w:rPr>
        <w:t>s</w:t>
      </w:r>
      <w:r w:rsidR="005201D9" w:rsidRPr="00903BCB">
        <w:rPr>
          <w:sz w:val="24"/>
          <w:szCs w:val="24"/>
        </w:rPr>
        <w:t xml:space="preserve"> </w:t>
      </w:r>
      <w:r w:rsidRPr="00903BCB">
        <w:rPr>
          <w:sz w:val="24"/>
          <w:szCs w:val="24"/>
        </w:rPr>
        <w:t>in this formula-design</w:t>
      </w:r>
      <w:r w:rsidR="005201D9" w:rsidRPr="00903BCB">
        <w:rPr>
          <w:sz w:val="24"/>
          <w:szCs w:val="24"/>
        </w:rPr>
        <w:t xml:space="preserve"> process is a discussion</w:t>
      </w:r>
      <w:r w:rsidRPr="00903BCB">
        <w:rPr>
          <w:sz w:val="24"/>
          <w:szCs w:val="24"/>
        </w:rPr>
        <w:t xml:space="preserve"> </w:t>
      </w:r>
      <w:r w:rsidR="005201D9" w:rsidRPr="00903BCB">
        <w:rPr>
          <w:sz w:val="24"/>
          <w:szCs w:val="24"/>
        </w:rPr>
        <w:t>o</w:t>
      </w:r>
      <w:r w:rsidR="007F347A" w:rsidRPr="00903BCB">
        <w:rPr>
          <w:sz w:val="24"/>
          <w:szCs w:val="24"/>
        </w:rPr>
        <w:t>f</w:t>
      </w:r>
      <w:r w:rsidRPr="00903BCB">
        <w:rPr>
          <w:sz w:val="24"/>
          <w:szCs w:val="24"/>
        </w:rPr>
        <w:t xml:space="preserve"> the </w:t>
      </w:r>
      <w:r w:rsidR="00495A00" w:rsidRPr="00903BCB">
        <w:rPr>
          <w:sz w:val="24"/>
          <w:szCs w:val="24"/>
        </w:rPr>
        <w:t xml:space="preserve">coefficients for each </w:t>
      </w:r>
      <w:r w:rsidR="005201D9" w:rsidRPr="00903BCB">
        <w:rPr>
          <w:sz w:val="24"/>
          <w:szCs w:val="24"/>
        </w:rPr>
        <w:t>parameter</w:t>
      </w:r>
      <w:r w:rsidR="00724BBB" w:rsidRPr="00903BCB">
        <w:rPr>
          <w:sz w:val="24"/>
          <w:szCs w:val="24"/>
        </w:rPr>
        <w:t xml:space="preserve"> </w:t>
      </w:r>
      <w:r w:rsidR="007F347A" w:rsidRPr="00903BCB">
        <w:rPr>
          <w:sz w:val="24"/>
          <w:szCs w:val="24"/>
        </w:rPr>
        <w:t>(</w:t>
      </w:r>
      <w:r w:rsidR="00724BBB" w:rsidRPr="00903BCB">
        <w:rPr>
          <w:sz w:val="24"/>
          <w:szCs w:val="24"/>
        </w:rPr>
        <w:t xml:space="preserve">i.e., the </w:t>
      </w:r>
      <w:r w:rsidR="00441C80" w:rsidRPr="00903BCB">
        <w:rPr>
          <w:sz w:val="24"/>
          <w:szCs w:val="24"/>
        </w:rPr>
        <w:t xml:space="preserve">weights of each </w:t>
      </w:r>
      <w:r w:rsidR="005201D9" w:rsidRPr="00903BCB">
        <w:rPr>
          <w:sz w:val="24"/>
          <w:szCs w:val="24"/>
        </w:rPr>
        <w:t>parameter</w:t>
      </w:r>
      <w:r w:rsidR="00441C80" w:rsidRPr="00903BCB">
        <w:rPr>
          <w:sz w:val="24"/>
          <w:szCs w:val="24"/>
        </w:rPr>
        <w:t xml:space="preserve"> in the formula</w:t>
      </w:r>
      <w:r w:rsidR="007F347A" w:rsidRPr="00903BCB">
        <w:rPr>
          <w:sz w:val="24"/>
          <w:szCs w:val="24"/>
        </w:rPr>
        <w:t>)</w:t>
      </w:r>
      <w:r w:rsidR="00441C80" w:rsidRPr="00903BCB">
        <w:rPr>
          <w:sz w:val="24"/>
          <w:szCs w:val="24"/>
        </w:rPr>
        <w:t>. Since a formula of this type has never been designed for Jordan</w:t>
      </w:r>
      <w:r w:rsidR="000F491D" w:rsidRPr="00903BCB">
        <w:rPr>
          <w:sz w:val="24"/>
          <w:szCs w:val="24"/>
        </w:rPr>
        <w:t>,</w:t>
      </w:r>
      <w:r w:rsidR="00441C80" w:rsidRPr="00903BCB">
        <w:rPr>
          <w:sz w:val="24"/>
          <w:szCs w:val="24"/>
        </w:rPr>
        <w:t xml:space="preserve"> there</w:t>
      </w:r>
      <w:r w:rsidR="00CD56E9" w:rsidRPr="00903BCB">
        <w:rPr>
          <w:sz w:val="24"/>
          <w:szCs w:val="24"/>
        </w:rPr>
        <w:t xml:space="preserve"> is no </w:t>
      </w:r>
      <w:r w:rsidR="00441C80" w:rsidRPr="00903BCB">
        <w:rPr>
          <w:sz w:val="24"/>
          <w:szCs w:val="24"/>
        </w:rPr>
        <w:t xml:space="preserve">baseline </w:t>
      </w:r>
      <w:r w:rsidR="00CD56E9" w:rsidRPr="00903BCB">
        <w:rPr>
          <w:sz w:val="24"/>
          <w:szCs w:val="24"/>
        </w:rPr>
        <w:t xml:space="preserve">reference </w:t>
      </w:r>
      <w:r w:rsidR="00441C80" w:rsidRPr="00903BCB">
        <w:rPr>
          <w:sz w:val="24"/>
          <w:szCs w:val="24"/>
        </w:rPr>
        <w:t xml:space="preserve">from which to discuss adjustments </w:t>
      </w:r>
      <w:r w:rsidR="00621801" w:rsidRPr="00903BCB">
        <w:rPr>
          <w:sz w:val="24"/>
          <w:szCs w:val="24"/>
        </w:rPr>
        <w:t>for</w:t>
      </w:r>
      <w:r w:rsidR="00441C80" w:rsidRPr="00903BCB">
        <w:rPr>
          <w:sz w:val="24"/>
          <w:szCs w:val="24"/>
        </w:rPr>
        <w:t xml:space="preserve"> the</w:t>
      </w:r>
      <w:r w:rsidR="00621801" w:rsidRPr="00903BCB">
        <w:rPr>
          <w:sz w:val="24"/>
          <w:szCs w:val="24"/>
        </w:rPr>
        <w:t>se</w:t>
      </w:r>
      <w:r w:rsidR="0007250F" w:rsidRPr="00903BCB">
        <w:rPr>
          <w:sz w:val="24"/>
          <w:szCs w:val="24"/>
        </w:rPr>
        <w:t xml:space="preserve"> coefficients.</w:t>
      </w:r>
    </w:p>
    <w:p w14:paraId="481F1E31" w14:textId="77777777" w:rsidR="00CD56E9" w:rsidRPr="00903BCB" w:rsidRDefault="00CD56E9" w:rsidP="008067C2">
      <w:pPr>
        <w:spacing w:line="360" w:lineRule="auto"/>
        <w:ind w:left="0" w:right="0"/>
        <w:rPr>
          <w:sz w:val="24"/>
          <w:szCs w:val="24"/>
        </w:rPr>
      </w:pPr>
    </w:p>
    <w:p w14:paraId="6F1EA02D" w14:textId="4ED9B626" w:rsidR="00CD56E9" w:rsidRPr="00903BCB" w:rsidRDefault="00CD56E9" w:rsidP="00D14EB9">
      <w:pPr>
        <w:spacing w:line="360" w:lineRule="auto"/>
        <w:ind w:left="0" w:right="0"/>
        <w:rPr>
          <w:sz w:val="24"/>
          <w:szCs w:val="24"/>
        </w:rPr>
      </w:pPr>
      <w:r w:rsidRPr="00903BCB">
        <w:rPr>
          <w:sz w:val="24"/>
          <w:szCs w:val="24"/>
        </w:rPr>
        <w:t>The approach suggested to address this methodological problem consists of</w:t>
      </w:r>
      <w:r w:rsidR="000C6FBA" w:rsidRPr="00903BCB">
        <w:rPr>
          <w:sz w:val="24"/>
          <w:szCs w:val="24"/>
        </w:rPr>
        <w:t xml:space="preserve"> modeling historical capital transfers</w:t>
      </w:r>
      <w:r w:rsidR="00A3797F" w:rsidRPr="00903BCB">
        <w:rPr>
          <w:sz w:val="24"/>
          <w:szCs w:val="24"/>
        </w:rPr>
        <w:t xml:space="preserve"> </w:t>
      </w:r>
      <w:r w:rsidR="00FA5F00" w:rsidRPr="00903BCB">
        <w:rPr>
          <w:sz w:val="24"/>
          <w:szCs w:val="24"/>
        </w:rPr>
        <w:t>by</w:t>
      </w:r>
      <w:r w:rsidR="000B4A96" w:rsidRPr="00903BCB">
        <w:rPr>
          <w:sz w:val="24"/>
          <w:szCs w:val="24"/>
        </w:rPr>
        <w:t xml:space="preserve"> c</w:t>
      </w:r>
      <w:r w:rsidR="00C90575" w:rsidRPr="00903BCB">
        <w:rPr>
          <w:sz w:val="24"/>
          <w:szCs w:val="24"/>
        </w:rPr>
        <w:t>alibrat</w:t>
      </w:r>
      <w:r w:rsidR="00FA5F00" w:rsidRPr="00903BCB">
        <w:rPr>
          <w:sz w:val="24"/>
          <w:szCs w:val="24"/>
        </w:rPr>
        <w:t>ing</w:t>
      </w:r>
      <w:r w:rsidR="00C90575" w:rsidRPr="00903BCB">
        <w:rPr>
          <w:sz w:val="24"/>
          <w:szCs w:val="24"/>
        </w:rPr>
        <w:t xml:space="preserve"> </w:t>
      </w:r>
      <w:r w:rsidRPr="00903BCB">
        <w:rPr>
          <w:sz w:val="24"/>
          <w:szCs w:val="24"/>
        </w:rPr>
        <w:t xml:space="preserve">a </w:t>
      </w:r>
      <w:r w:rsidR="00DF46AE" w:rsidRPr="00903BCB">
        <w:rPr>
          <w:sz w:val="24"/>
          <w:szCs w:val="24"/>
        </w:rPr>
        <w:t xml:space="preserve">mathematical </w:t>
      </w:r>
      <w:r w:rsidRPr="00903BCB">
        <w:rPr>
          <w:sz w:val="24"/>
          <w:szCs w:val="24"/>
        </w:rPr>
        <w:t xml:space="preserve">model to what has been the </w:t>
      </w:r>
      <w:r w:rsidR="00DF46AE" w:rsidRPr="00903BCB">
        <w:rPr>
          <w:sz w:val="24"/>
          <w:szCs w:val="24"/>
        </w:rPr>
        <w:t xml:space="preserve">policy-making </w:t>
      </w:r>
      <w:r w:rsidRPr="00903BCB">
        <w:rPr>
          <w:sz w:val="24"/>
          <w:szCs w:val="24"/>
        </w:rPr>
        <w:t>practice in Jorda</w:t>
      </w:r>
      <w:r w:rsidR="00A3797F" w:rsidRPr="00903BCB">
        <w:rPr>
          <w:sz w:val="24"/>
          <w:szCs w:val="24"/>
        </w:rPr>
        <w:t>n and by discussing and fine-tuning the coefficients obtained.</w:t>
      </w:r>
      <w:r w:rsidR="00C8282F" w:rsidRPr="00903BCB">
        <w:rPr>
          <w:sz w:val="24"/>
          <w:szCs w:val="24"/>
        </w:rPr>
        <w:t xml:space="preserve"> The coefficients estimated with the calibrated model are viewed as proxies of the current decision-criteria that have not been explicitly communicated by the central government, but which represent specific historical and institutional</w:t>
      </w:r>
      <w:r w:rsidR="000C6FBA" w:rsidRPr="00903BCB">
        <w:rPr>
          <w:sz w:val="24"/>
          <w:szCs w:val="24"/>
        </w:rPr>
        <w:t xml:space="preserve"> dynamics that</w:t>
      </w:r>
      <w:r w:rsidR="00C8282F" w:rsidRPr="00903BCB">
        <w:rPr>
          <w:sz w:val="24"/>
          <w:szCs w:val="24"/>
        </w:rPr>
        <w:t xml:space="preserve"> have been driving intergovernmental </w:t>
      </w:r>
      <w:r w:rsidR="000C6FBA" w:rsidRPr="00903BCB">
        <w:rPr>
          <w:sz w:val="24"/>
          <w:szCs w:val="24"/>
        </w:rPr>
        <w:t xml:space="preserve">capital expenditure </w:t>
      </w:r>
      <w:r w:rsidR="00C8282F" w:rsidRPr="00903BCB">
        <w:rPr>
          <w:sz w:val="24"/>
          <w:szCs w:val="24"/>
        </w:rPr>
        <w:t>transfer policy in Jordan</w:t>
      </w:r>
      <w:r w:rsidR="00A3797F" w:rsidRPr="00903BCB">
        <w:rPr>
          <w:sz w:val="24"/>
          <w:szCs w:val="24"/>
        </w:rPr>
        <w:t>.</w:t>
      </w:r>
    </w:p>
    <w:p w14:paraId="16F343E9" w14:textId="77777777" w:rsidR="00441C80" w:rsidRPr="00903BCB" w:rsidRDefault="00441C80" w:rsidP="008067C2">
      <w:pPr>
        <w:spacing w:line="360" w:lineRule="auto"/>
        <w:ind w:left="0" w:right="0"/>
        <w:rPr>
          <w:sz w:val="24"/>
          <w:szCs w:val="24"/>
        </w:rPr>
      </w:pPr>
    </w:p>
    <w:p w14:paraId="0D80EEC1" w14:textId="77777777" w:rsidR="000C6FBA" w:rsidRPr="00903BCB" w:rsidRDefault="00301253" w:rsidP="008067C2">
      <w:pPr>
        <w:spacing w:line="360" w:lineRule="auto"/>
        <w:ind w:left="0" w:right="0"/>
        <w:rPr>
          <w:sz w:val="24"/>
          <w:szCs w:val="24"/>
        </w:rPr>
      </w:pPr>
      <w:r w:rsidRPr="00903BCB">
        <w:rPr>
          <w:sz w:val="24"/>
          <w:szCs w:val="24"/>
        </w:rPr>
        <w:t xml:space="preserve">The </w:t>
      </w:r>
      <w:r w:rsidR="00F122CD" w:rsidRPr="00903BCB">
        <w:rPr>
          <w:sz w:val="24"/>
          <w:szCs w:val="24"/>
        </w:rPr>
        <w:t>calibrated</w:t>
      </w:r>
      <w:r w:rsidR="000C6FBA" w:rsidRPr="00903BCB">
        <w:rPr>
          <w:sz w:val="24"/>
          <w:szCs w:val="24"/>
        </w:rPr>
        <w:t xml:space="preserve"> </w:t>
      </w:r>
      <w:r w:rsidRPr="00903BCB">
        <w:rPr>
          <w:sz w:val="24"/>
          <w:szCs w:val="24"/>
        </w:rPr>
        <w:t xml:space="preserve">model </w:t>
      </w:r>
      <w:r w:rsidR="00F53961" w:rsidRPr="00903BCB">
        <w:rPr>
          <w:sz w:val="24"/>
          <w:szCs w:val="24"/>
        </w:rPr>
        <w:t xml:space="preserve">(M1) </w:t>
      </w:r>
      <w:r w:rsidRPr="00903BCB">
        <w:rPr>
          <w:sz w:val="24"/>
          <w:szCs w:val="24"/>
        </w:rPr>
        <w:t xml:space="preserve">results from minimizing the sum of the absolute values of the deviations </w:t>
      </w:r>
      <w:r w:rsidR="00461FCB" w:rsidRPr="00903BCB">
        <w:rPr>
          <w:sz w:val="24"/>
          <w:szCs w:val="24"/>
        </w:rPr>
        <w:t xml:space="preserve">between actual </w:t>
      </w:r>
      <w:r w:rsidR="006B3DFD" w:rsidRPr="00903BCB">
        <w:rPr>
          <w:sz w:val="24"/>
          <w:szCs w:val="24"/>
        </w:rPr>
        <w:t xml:space="preserve">(Y) </w:t>
      </w:r>
      <w:r w:rsidR="00461FCB" w:rsidRPr="00903BCB">
        <w:rPr>
          <w:sz w:val="24"/>
          <w:szCs w:val="24"/>
        </w:rPr>
        <w:t xml:space="preserve">and formula-driven </w:t>
      </w:r>
      <w:r w:rsidR="006B3DFD" w:rsidRPr="00903BCB">
        <w:rPr>
          <w:sz w:val="24"/>
          <w:szCs w:val="24"/>
        </w:rPr>
        <w:t xml:space="preserve">(Ŷ) </w:t>
      </w:r>
      <w:r w:rsidR="00461FCB" w:rsidRPr="00903BCB">
        <w:rPr>
          <w:sz w:val="24"/>
          <w:szCs w:val="24"/>
        </w:rPr>
        <w:t>transfers</w:t>
      </w:r>
      <w:r w:rsidRPr="00903BCB">
        <w:rPr>
          <w:sz w:val="24"/>
          <w:szCs w:val="24"/>
        </w:rPr>
        <w:t xml:space="preserve"> </w:t>
      </w:r>
      <w:r w:rsidR="00621801" w:rsidRPr="00903BCB">
        <w:rPr>
          <w:sz w:val="24"/>
          <w:szCs w:val="24"/>
        </w:rPr>
        <w:t>for</w:t>
      </w:r>
      <w:r w:rsidRPr="00903BCB">
        <w:rPr>
          <w:sz w:val="24"/>
          <w:szCs w:val="24"/>
        </w:rPr>
        <w:t xml:space="preserve"> each one of the 12 Governorates</w:t>
      </w:r>
      <w:r w:rsidR="006B3DFD" w:rsidRPr="00903BCB">
        <w:rPr>
          <w:sz w:val="24"/>
          <w:szCs w:val="24"/>
        </w:rPr>
        <w:t xml:space="preserve"> (n=1, … 12)</w:t>
      </w:r>
      <w:r w:rsidRPr="00903BCB">
        <w:rPr>
          <w:sz w:val="24"/>
          <w:szCs w:val="24"/>
        </w:rPr>
        <w:t xml:space="preserve">. Since actual capital transfers </w:t>
      </w:r>
      <w:r w:rsidR="006B3DFD" w:rsidRPr="00903BCB">
        <w:rPr>
          <w:sz w:val="24"/>
          <w:szCs w:val="24"/>
        </w:rPr>
        <w:t xml:space="preserve">and the five criteria (x=1, … 5) </w:t>
      </w:r>
      <w:r w:rsidRPr="00903BCB">
        <w:rPr>
          <w:sz w:val="24"/>
          <w:szCs w:val="24"/>
        </w:rPr>
        <w:t xml:space="preserve">are known, </w:t>
      </w:r>
      <w:r w:rsidR="002E5576" w:rsidRPr="00903BCB">
        <w:rPr>
          <w:sz w:val="24"/>
          <w:szCs w:val="24"/>
        </w:rPr>
        <w:t>the coefficients α</w:t>
      </w:r>
      <w:r w:rsidR="002E5576" w:rsidRPr="00903BCB">
        <w:rPr>
          <w:sz w:val="24"/>
          <w:szCs w:val="24"/>
          <w:vertAlign w:val="subscript"/>
        </w:rPr>
        <w:t xml:space="preserve">1… </w:t>
      </w:r>
      <w:r w:rsidR="002E5576" w:rsidRPr="00903BCB">
        <w:rPr>
          <w:sz w:val="24"/>
          <w:szCs w:val="24"/>
        </w:rPr>
        <w:t>α</w:t>
      </w:r>
      <w:r w:rsidR="002E5576" w:rsidRPr="00903BCB">
        <w:rPr>
          <w:sz w:val="24"/>
          <w:szCs w:val="24"/>
          <w:vertAlign w:val="subscript"/>
        </w:rPr>
        <w:t>5</w:t>
      </w:r>
      <w:r w:rsidR="002E5576" w:rsidRPr="00903BCB">
        <w:rPr>
          <w:sz w:val="24"/>
          <w:szCs w:val="24"/>
        </w:rPr>
        <w:t xml:space="preserve"> </w:t>
      </w:r>
      <w:r w:rsidR="00C90575" w:rsidRPr="00903BCB">
        <w:rPr>
          <w:sz w:val="24"/>
          <w:szCs w:val="24"/>
        </w:rPr>
        <w:t>are</w:t>
      </w:r>
      <w:r w:rsidR="006B3DFD" w:rsidRPr="00903BCB">
        <w:rPr>
          <w:sz w:val="24"/>
          <w:szCs w:val="24"/>
        </w:rPr>
        <w:t xml:space="preserve"> </w:t>
      </w:r>
      <w:r w:rsidRPr="00903BCB">
        <w:rPr>
          <w:sz w:val="24"/>
          <w:szCs w:val="24"/>
        </w:rPr>
        <w:t>estimat</w:t>
      </w:r>
      <w:r w:rsidR="002E5576" w:rsidRPr="00903BCB">
        <w:rPr>
          <w:sz w:val="24"/>
          <w:szCs w:val="24"/>
        </w:rPr>
        <w:t>ed</w:t>
      </w:r>
      <w:r w:rsidRPr="00903BCB">
        <w:rPr>
          <w:sz w:val="24"/>
          <w:szCs w:val="24"/>
        </w:rPr>
        <w:t xml:space="preserve"> </w:t>
      </w:r>
      <w:r w:rsidR="002E5576" w:rsidRPr="00903BCB">
        <w:rPr>
          <w:sz w:val="24"/>
          <w:szCs w:val="24"/>
        </w:rPr>
        <w:t>by</w:t>
      </w:r>
      <w:r w:rsidR="006B3DFD" w:rsidRPr="00903BCB">
        <w:rPr>
          <w:sz w:val="24"/>
          <w:szCs w:val="24"/>
        </w:rPr>
        <w:t xml:space="preserve"> minimiz</w:t>
      </w:r>
      <w:r w:rsidR="002E5576" w:rsidRPr="00903BCB">
        <w:rPr>
          <w:sz w:val="24"/>
          <w:szCs w:val="24"/>
        </w:rPr>
        <w:t>ing</w:t>
      </w:r>
      <w:r w:rsidR="006B3DFD" w:rsidRPr="00903BCB">
        <w:rPr>
          <w:sz w:val="24"/>
          <w:szCs w:val="24"/>
        </w:rPr>
        <w:t xml:space="preserve"> the sum of deviations Ŷ</w:t>
      </w:r>
      <w:r w:rsidR="006B3DFD" w:rsidRPr="00903BCB">
        <w:rPr>
          <w:sz w:val="24"/>
          <w:szCs w:val="24"/>
          <w:vertAlign w:val="superscript"/>
        </w:rPr>
        <w:t>n</w:t>
      </w:r>
      <w:r w:rsidR="006B3DFD" w:rsidRPr="00903BCB">
        <w:rPr>
          <w:sz w:val="24"/>
          <w:szCs w:val="24"/>
        </w:rPr>
        <w:t xml:space="preserve"> from Y</w:t>
      </w:r>
      <w:r w:rsidR="006B3DFD" w:rsidRPr="00903BCB">
        <w:rPr>
          <w:sz w:val="24"/>
          <w:szCs w:val="24"/>
          <w:vertAlign w:val="superscript"/>
        </w:rPr>
        <w:t>n</w:t>
      </w:r>
      <w:r w:rsidR="006B3DFD" w:rsidRPr="00903BCB">
        <w:rPr>
          <w:sz w:val="24"/>
          <w:szCs w:val="24"/>
        </w:rPr>
        <w:t>, with</w:t>
      </w:r>
      <w:r w:rsidR="00621801" w:rsidRPr="00903BCB">
        <w:rPr>
          <w:sz w:val="24"/>
          <w:szCs w:val="24"/>
        </w:rPr>
        <w:t>,</w:t>
      </w:r>
    </w:p>
    <w:p w14:paraId="265422EE" w14:textId="77777777" w:rsidR="00405069" w:rsidRPr="00903BCB" w:rsidRDefault="00405069" w:rsidP="008067C2">
      <w:pPr>
        <w:spacing w:line="360" w:lineRule="auto"/>
        <w:ind w:left="0" w:right="0" w:firstLine="720"/>
        <w:rPr>
          <w:sz w:val="24"/>
          <w:szCs w:val="24"/>
        </w:rPr>
      </w:pPr>
      <w:r w:rsidRPr="00903BCB">
        <w:rPr>
          <w:sz w:val="24"/>
          <w:szCs w:val="24"/>
        </w:rPr>
        <w:t>X=f(x</w:t>
      </w:r>
      <w:r w:rsidRPr="00903BCB">
        <w:rPr>
          <w:sz w:val="24"/>
          <w:szCs w:val="24"/>
          <w:vertAlign w:val="subscript"/>
        </w:rPr>
        <w:t>1</w:t>
      </w:r>
      <w:r w:rsidRPr="00903BCB">
        <w:rPr>
          <w:sz w:val="24"/>
          <w:szCs w:val="24"/>
        </w:rPr>
        <w:t>,… x</w:t>
      </w:r>
      <w:r w:rsidRPr="00903BCB">
        <w:rPr>
          <w:sz w:val="24"/>
          <w:szCs w:val="24"/>
          <w:vertAlign w:val="subscript"/>
        </w:rPr>
        <w:t>5</w:t>
      </w:r>
      <w:r w:rsidRPr="00903BCB">
        <w:rPr>
          <w:sz w:val="24"/>
          <w:szCs w:val="24"/>
        </w:rPr>
        <w:t>)=f(population, area, density, poverty rate, unemployment rate), all known;</w:t>
      </w:r>
    </w:p>
    <w:p w14:paraId="04CCBC83" w14:textId="77777777" w:rsidR="006B3DFD" w:rsidRPr="00903BCB" w:rsidRDefault="006B3DFD" w:rsidP="008067C2">
      <w:pPr>
        <w:spacing w:line="360" w:lineRule="auto"/>
        <w:ind w:left="0" w:right="0" w:firstLine="720"/>
        <w:rPr>
          <w:sz w:val="24"/>
          <w:szCs w:val="24"/>
        </w:rPr>
      </w:pPr>
      <w:r w:rsidRPr="00903BCB">
        <w:rPr>
          <w:sz w:val="24"/>
          <w:szCs w:val="24"/>
        </w:rPr>
        <w:t>Y</w:t>
      </w:r>
      <w:r w:rsidRPr="00903BCB">
        <w:rPr>
          <w:sz w:val="24"/>
          <w:szCs w:val="24"/>
          <w:vertAlign w:val="superscript"/>
        </w:rPr>
        <w:t>1</w:t>
      </w:r>
      <w:r w:rsidRPr="00903BCB">
        <w:rPr>
          <w:sz w:val="24"/>
          <w:szCs w:val="24"/>
        </w:rPr>
        <w:t>… Y</w:t>
      </w:r>
      <w:r w:rsidRPr="00903BCB">
        <w:rPr>
          <w:sz w:val="24"/>
          <w:szCs w:val="24"/>
          <w:vertAlign w:val="superscript"/>
        </w:rPr>
        <w:t>12</w:t>
      </w:r>
      <w:r w:rsidRPr="00903BCB">
        <w:rPr>
          <w:sz w:val="24"/>
          <w:szCs w:val="24"/>
        </w:rPr>
        <w:t xml:space="preserve"> = f(x</w:t>
      </w:r>
      <w:r w:rsidRPr="00903BCB">
        <w:rPr>
          <w:sz w:val="24"/>
          <w:szCs w:val="24"/>
          <w:vertAlign w:val="superscript"/>
        </w:rPr>
        <w:t>1</w:t>
      </w:r>
      <w:r w:rsidRPr="00903BCB">
        <w:rPr>
          <w:sz w:val="24"/>
          <w:szCs w:val="24"/>
          <w:vertAlign w:val="subscript"/>
        </w:rPr>
        <w:t>1</w:t>
      </w:r>
      <w:r w:rsidRPr="00903BCB">
        <w:rPr>
          <w:sz w:val="24"/>
          <w:szCs w:val="24"/>
        </w:rPr>
        <w:t>, … x</w:t>
      </w:r>
      <w:r w:rsidRPr="00903BCB">
        <w:rPr>
          <w:sz w:val="24"/>
          <w:szCs w:val="24"/>
          <w:vertAlign w:val="superscript"/>
        </w:rPr>
        <w:t>12</w:t>
      </w:r>
      <w:r w:rsidRPr="00903BCB">
        <w:rPr>
          <w:sz w:val="24"/>
          <w:szCs w:val="24"/>
          <w:vertAlign w:val="subscript"/>
        </w:rPr>
        <w:t>5</w:t>
      </w:r>
      <w:r w:rsidRPr="00903BCB">
        <w:rPr>
          <w:sz w:val="24"/>
          <w:szCs w:val="24"/>
        </w:rPr>
        <w:t>), all known</w:t>
      </w:r>
      <w:r w:rsidR="00621801" w:rsidRPr="00903BCB">
        <w:rPr>
          <w:sz w:val="24"/>
          <w:szCs w:val="24"/>
        </w:rPr>
        <w:t xml:space="preserve"> and</w:t>
      </w:r>
      <w:r w:rsidRPr="00903BCB">
        <w:rPr>
          <w:sz w:val="24"/>
          <w:szCs w:val="24"/>
        </w:rPr>
        <w:t>;</w:t>
      </w:r>
    </w:p>
    <w:p w14:paraId="3D689BF9" w14:textId="77777777" w:rsidR="006B3DFD" w:rsidRPr="00903BCB" w:rsidRDefault="006B3DFD" w:rsidP="008067C2">
      <w:pPr>
        <w:spacing w:line="360" w:lineRule="auto"/>
        <w:ind w:left="0" w:firstLine="720"/>
        <w:rPr>
          <w:sz w:val="24"/>
          <w:szCs w:val="24"/>
        </w:rPr>
      </w:pPr>
      <w:r w:rsidRPr="00903BCB">
        <w:rPr>
          <w:sz w:val="24"/>
          <w:szCs w:val="24"/>
        </w:rPr>
        <w:t>Ŷ</w:t>
      </w:r>
      <w:r w:rsidRPr="00903BCB">
        <w:rPr>
          <w:sz w:val="24"/>
          <w:szCs w:val="24"/>
          <w:vertAlign w:val="superscript"/>
        </w:rPr>
        <w:t>n</w:t>
      </w:r>
      <w:r w:rsidRPr="00903BCB">
        <w:rPr>
          <w:sz w:val="24"/>
          <w:szCs w:val="24"/>
        </w:rPr>
        <w:t xml:space="preserve"> = α</w:t>
      </w:r>
      <w:r w:rsidRPr="00903BCB">
        <w:rPr>
          <w:sz w:val="24"/>
          <w:szCs w:val="24"/>
          <w:vertAlign w:val="subscript"/>
        </w:rPr>
        <w:t>1</w:t>
      </w:r>
      <w:r w:rsidRPr="00903BCB">
        <w:rPr>
          <w:sz w:val="24"/>
          <w:szCs w:val="24"/>
        </w:rPr>
        <w:t>x</w:t>
      </w:r>
      <w:r w:rsidRPr="00903BCB">
        <w:rPr>
          <w:sz w:val="24"/>
          <w:szCs w:val="24"/>
          <w:vertAlign w:val="superscript"/>
        </w:rPr>
        <w:t>n</w:t>
      </w:r>
      <w:r w:rsidRPr="00903BCB">
        <w:rPr>
          <w:sz w:val="24"/>
          <w:szCs w:val="24"/>
          <w:vertAlign w:val="subscript"/>
        </w:rPr>
        <w:t>1</w:t>
      </w:r>
      <w:r w:rsidRPr="00903BCB">
        <w:rPr>
          <w:sz w:val="24"/>
          <w:szCs w:val="24"/>
        </w:rPr>
        <w:t xml:space="preserve"> + α</w:t>
      </w:r>
      <w:r w:rsidRPr="00903BCB">
        <w:rPr>
          <w:sz w:val="24"/>
          <w:szCs w:val="24"/>
          <w:vertAlign w:val="subscript"/>
        </w:rPr>
        <w:t>2</w:t>
      </w:r>
      <w:r w:rsidRPr="00903BCB">
        <w:rPr>
          <w:sz w:val="24"/>
          <w:szCs w:val="24"/>
        </w:rPr>
        <w:t>x</w:t>
      </w:r>
      <w:r w:rsidRPr="00903BCB">
        <w:rPr>
          <w:sz w:val="24"/>
          <w:szCs w:val="24"/>
          <w:vertAlign w:val="superscript"/>
        </w:rPr>
        <w:t xml:space="preserve"> n</w:t>
      </w:r>
      <w:r w:rsidRPr="00903BCB">
        <w:rPr>
          <w:sz w:val="24"/>
          <w:szCs w:val="24"/>
          <w:vertAlign w:val="subscript"/>
        </w:rPr>
        <w:t>2</w:t>
      </w:r>
      <w:r w:rsidRPr="00903BCB">
        <w:rPr>
          <w:sz w:val="24"/>
          <w:szCs w:val="24"/>
        </w:rPr>
        <w:t>+ α</w:t>
      </w:r>
      <w:r w:rsidRPr="00903BCB">
        <w:rPr>
          <w:sz w:val="24"/>
          <w:szCs w:val="24"/>
          <w:vertAlign w:val="subscript"/>
        </w:rPr>
        <w:t>3</w:t>
      </w:r>
      <w:r w:rsidRPr="00903BCB">
        <w:rPr>
          <w:sz w:val="24"/>
          <w:szCs w:val="24"/>
        </w:rPr>
        <w:t>x</w:t>
      </w:r>
      <w:r w:rsidRPr="00903BCB">
        <w:rPr>
          <w:sz w:val="24"/>
          <w:szCs w:val="24"/>
          <w:vertAlign w:val="superscript"/>
        </w:rPr>
        <w:t xml:space="preserve"> n</w:t>
      </w:r>
      <w:r w:rsidRPr="00903BCB">
        <w:rPr>
          <w:sz w:val="24"/>
          <w:szCs w:val="24"/>
          <w:vertAlign w:val="subscript"/>
        </w:rPr>
        <w:t>3</w:t>
      </w:r>
      <w:r w:rsidRPr="00903BCB">
        <w:rPr>
          <w:sz w:val="24"/>
          <w:szCs w:val="24"/>
        </w:rPr>
        <w:t xml:space="preserve"> + α</w:t>
      </w:r>
      <w:r w:rsidRPr="00903BCB">
        <w:rPr>
          <w:sz w:val="24"/>
          <w:szCs w:val="24"/>
          <w:vertAlign w:val="subscript"/>
        </w:rPr>
        <w:t>4</w:t>
      </w:r>
      <w:r w:rsidRPr="00903BCB">
        <w:rPr>
          <w:sz w:val="24"/>
          <w:szCs w:val="24"/>
        </w:rPr>
        <w:t>x</w:t>
      </w:r>
      <w:r w:rsidRPr="00903BCB">
        <w:rPr>
          <w:sz w:val="24"/>
          <w:szCs w:val="24"/>
          <w:vertAlign w:val="superscript"/>
        </w:rPr>
        <w:t xml:space="preserve"> n</w:t>
      </w:r>
      <w:r w:rsidRPr="00903BCB">
        <w:rPr>
          <w:sz w:val="24"/>
          <w:szCs w:val="24"/>
          <w:vertAlign w:val="subscript"/>
        </w:rPr>
        <w:t>4</w:t>
      </w:r>
      <w:r w:rsidRPr="00903BCB">
        <w:rPr>
          <w:sz w:val="24"/>
          <w:szCs w:val="24"/>
        </w:rPr>
        <w:t xml:space="preserve"> + α</w:t>
      </w:r>
      <w:r w:rsidRPr="00903BCB">
        <w:rPr>
          <w:sz w:val="24"/>
          <w:szCs w:val="24"/>
          <w:vertAlign w:val="subscript"/>
        </w:rPr>
        <w:t>5</w:t>
      </w:r>
      <w:r w:rsidRPr="00903BCB">
        <w:rPr>
          <w:sz w:val="24"/>
          <w:szCs w:val="24"/>
        </w:rPr>
        <w:t>x</w:t>
      </w:r>
      <w:r w:rsidRPr="00903BCB">
        <w:rPr>
          <w:sz w:val="24"/>
          <w:szCs w:val="24"/>
          <w:vertAlign w:val="superscript"/>
        </w:rPr>
        <w:t xml:space="preserve"> n</w:t>
      </w:r>
      <w:r w:rsidRPr="00903BCB">
        <w:rPr>
          <w:sz w:val="24"/>
          <w:szCs w:val="24"/>
          <w:vertAlign w:val="subscript"/>
        </w:rPr>
        <w:t>5</w:t>
      </w:r>
      <w:r w:rsidR="001426AB" w:rsidRPr="00903BCB">
        <w:rPr>
          <w:sz w:val="24"/>
          <w:szCs w:val="24"/>
        </w:rPr>
        <w:t>, with 0&lt; α</w:t>
      </w:r>
      <w:r w:rsidR="001426AB" w:rsidRPr="00903BCB">
        <w:rPr>
          <w:sz w:val="24"/>
          <w:szCs w:val="24"/>
          <w:vertAlign w:val="subscript"/>
        </w:rPr>
        <w:t xml:space="preserve">1… </w:t>
      </w:r>
      <w:r w:rsidR="001426AB" w:rsidRPr="00903BCB">
        <w:rPr>
          <w:sz w:val="24"/>
          <w:szCs w:val="24"/>
        </w:rPr>
        <w:t>α</w:t>
      </w:r>
      <w:r w:rsidR="001426AB" w:rsidRPr="00903BCB">
        <w:rPr>
          <w:sz w:val="24"/>
          <w:szCs w:val="24"/>
          <w:vertAlign w:val="subscript"/>
        </w:rPr>
        <w:t>5</w:t>
      </w:r>
      <w:r w:rsidR="001426AB" w:rsidRPr="00903BCB">
        <w:rPr>
          <w:sz w:val="24"/>
          <w:szCs w:val="24"/>
        </w:rPr>
        <w:t xml:space="preserve"> &lt;=1 and </w:t>
      </w:r>
      <w:r w:rsidR="001426AB" w:rsidRPr="00903BCB">
        <w:rPr>
          <w:rStyle w:val="st1"/>
          <w:color w:val="222222"/>
          <w:sz w:val="24"/>
          <w:szCs w:val="24"/>
        </w:rPr>
        <w:t>∑</w:t>
      </w:r>
      <w:r w:rsidR="001426AB" w:rsidRPr="00903BCB">
        <w:rPr>
          <w:sz w:val="24"/>
          <w:szCs w:val="24"/>
        </w:rPr>
        <w:t xml:space="preserve"> (α</w:t>
      </w:r>
      <w:r w:rsidR="001426AB" w:rsidRPr="00903BCB">
        <w:rPr>
          <w:sz w:val="24"/>
          <w:szCs w:val="24"/>
          <w:vertAlign w:val="subscript"/>
        </w:rPr>
        <w:t>1</w:t>
      </w:r>
      <w:r w:rsidR="001426AB" w:rsidRPr="00903BCB">
        <w:rPr>
          <w:sz w:val="24"/>
          <w:szCs w:val="24"/>
        </w:rPr>
        <w:t>… α</w:t>
      </w:r>
      <w:r w:rsidR="001426AB" w:rsidRPr="00903BCB">
        <w:rPr>
          <w:sz w:val="24"/>
          <w:szCs w:val="24"/>
          <w:vertAlign w:val="subscript"/>
        </w:rPr>
        <w:t>5</w:t>
      </w:r>
      <w:r w:rsidR="001426AB" w:rsidRPr="00903BCB">
        <w:rPr>
          <w:sz w:val="24"/>
          <w:szCs w:val="24"/>
        </w:rPr>
        <w:t>) = 1</w:t>
      </w:r>
    </w:p>
    <w:p w14:paraId="713463A4" w14:textId="77777777" w:rsidR="000C6FBA" w:rsidRPr="00903BCB" w:rsidRDefault="000C6FBA" w:rsidP="008067C2">
      <w:pPr>
        <w:spacing w:line="360" w:lineRule="auto"/>
        <w:ind w:left="0" w:firstLine="720"/>
        <w:rPr>
          <w:sz w:val="24"/>
          <w:szCs w:val="24"/>
          <w:vertAlign w:val="subscript"/>
        </w:rPr>
      </w:pPr>
    </w:p>
    <w:p w14:paraId="01DF6FA9" w14:textId="55C9A9AA" w:rsidR="008579D3" w:rsidRPr="00903BCB" w:rsidRDefault="00820481" w:rsidP="008067C2">
      <w:pPr>
        <w:spacing w:line="360" w:lineRule="auto"/>
        <w:ind w:left="0" w:right="0"/>
        <w:rPr>
          <w:sz w:val="24"/>
          <w:szCs w:val="24"/>
        </w:rPr>
      </w:pPr>
      <w:r w:rsidRPr="00903BCB">
        <w:rPr>
          <w:sz w:val="24"/>
          <w:szCs w:val="24"/>
        </w:rPr>
        <w:t xml:space="preserve">Table </w:t>
      </w:r>
      <w:r w:rsidR="003C76C9" w:rsidRPr="00903BCB">
        <w:rPr>
          <w:sz w:val="24"/>
          <w:szCs w:val="24"/>
        </w:rPr>
        <w:t xml:space="preserve">6 </w:t>
      </w:r>
      <w:r w:rsidR="00B53351" w:rsidRPr="00903BCB">
        <w:rPr>
          <w:sz w:val="24"/>
          <w:szCs w:val="24"/>
        </w:rPr>
        <w:t xml:space="preserve">and Chart 2 illustrate the results </w:t>
      </w:r>
      <w:r w:rsidR="009802EE" w:rsidRPr="00903BCB">
        <w:rPr>
          <w:sz w:val="24"/>
          <w:szCs w:val="24"/>
        </w:rPr>
        <w:t>for</w:t>
      </w:r>
      <w:r w:rsidR="00F53961" w:rsidRPr="00903BCB">
        <w:rPr>
          <w:sz w:val="24"/>
          <w:szCs w:val="24"/>
        </w:rPr>
        <w:t xml:space="preserve"> M</w:t>
      </w:r>
      <w:r w:rsidR="00B53351" w:rsidRPr="00903BCB">
        <w:rPr>
          <w:sz w:val="24"/>
          <w:szCs w:val="24"/>
        </w:rPr>
        <w:t xml:space="preserve">1 </w:t>
      </w:r>
      <w:r w:rsidR="002E641D" w:rsidRPr="00903BCB">
        <w:rPr>
          <w:sz w:val="24"/>
          <w:szCs w:val="24"/>
        </w:rPr>
        <w:t xml:space="preserve">obtained </w:t>
      </w:r>
      <w:r w:rsidR="006A2B6C" w:rsidRPr="00903BCB">
        <w:rPr>
          <w:sz w:val="24"/>
          <w:szCs w:val="24"/>
        </w:rPr>
        <w:t>following a</w:t>
      </w:r>
      <w:r w:rsidR="00C90575" w:rsidRPr="00903BCB">
        <w:rPr>
          <w:sz w:val="24"/>
          <w:szCs w:val="24"/>
        </w:rPr>
        <w:t>n</w:t>
      </w:r>
      <w:r w:rsidR="006A2B6C" w:rsidRPr="00903BCB">
        <w:rPr>
          <w:sz w:val="24"/>
          <w:szCs w:val="24"/>
        </w:rPr>
        <w:t xml:space="preserve"> </w:t>
      </w:r>
      <w:r w:rsidR="00C90575" w:rsidRPr="00903BCB">
        <w:rPr>
          <w:sz w:val="24"/>
          <w:szCs w:val="24"/>
        </w:rPr>
        <w:t>e</w:t>
      </w:r>
      <w:r w:rsidR="00B53351" w:rsidRPr="00903BCB">
        <w:rPr>
          <w:sz w:val="24"/>
          <w:szCs w:val="24"/>
        </w:rPr>
        <w:t>volutionary</w:t>
      </w:r>
      <w:r w:rsidR="00680859" w:rsidRPr="00903BCB">
        <w:rPr>
          <w:sz w:val="24"/>
          <w:szCs w:val="24"/>
        </w:rPr>
        <w:t xml:space="preserve"> </w:t>
      </w:r>
      <w:r w:rsidR="00C90575" w:rsidRPr="00903BCB">
        <w:rPr>
          <w:sz w:val="24"/>
          <w:szCs w:val="24"/>
        </w:rPr>
        <w:t>s</w:t>
      </w:r>
      <w:r w:rsidR="00680859" w:rsidRPr="00903BCB">
        <w:rPr>
          <w:sz w:val="24"/>
          <w:szCs w:val="24"/>
        </w:rPr>
        <w:t>olving</w:t>
      </w:r>
      <w:r w:rsidR="006A2B6C" w:rsidRPr="00903BCB">
        <w:rPr>
          <w:sz w:val="24"/>
          <w:szCs w:val="24"/>
        </w:rPr>
        <w:t xml:space="preserve"> non-linear </w:t>
      </w:r>
      <w:r w:rsidR="00F53961" w:rsidRPr="00903BCB">
        <w:rPr>
          <w:sz w:val="24"/>
          <w:szCs w:val="24"/>
        </w:rPr>
        <w:t xml:space="preserve">regression </w:t>
      </w:r>
      <w:r w:rsidR="007C6275" w:rsidRPr="00903BCB">
        <w:rPr>
          <w:sz w:val="24"/>
          <w:szCs w:val="24"/>
        </w:rPr>
        <w:t>(Baker and Camm 2005)</w:t>
      </w:r>
      <w:r w:rsidR="00B53351" w:rsidRPr="00903BCB">
        <w:rPr>
          <w:sz w:val="24"/>
          <w:szCs w:val="24"/>
        </w:rPr>
        <w:t>.</w:t>
      </w:r>
      <w:r w:rsidR="002E641D" w:rsidRPr="00903BCB">
        <w:rPr>
          <w:sz w:val="24"/>
          <w:szCs w:val="24"/>
        </w:rPr>
        <w:t xml:space="preserve"> First, almost one quarter</w:t>
      </w:r>
      <w:r w:rsidR="00A3797F" w:rsidRPr="00903BCB">
        <w:rPr>
          <w:sz w:val="24"/>
          <w:szCs w:val="24"/>
        </w:rPr>
        <w:t>, or</w:t>
      </w:r>
      <w:r w:rsidR="002E641D" w:rsidRPr="00903BCB">
        <w:rPr>
          <w:sz w:val="24"/>
          <w:szCs w:val="24"/>
        </w:rPr>
        <w:t xml:space="preserve"> 23.11%</w:t>
      </w:r>
      <w:r w:rsidR="00A3797F" w:rsidRPr="00903BCB">
        <w:rPr>
          <w:sz w:val="24"/>
          <w:szCs w:val="24"/>
        </w:rPr>
        <w:t>,</w:t>
      </w:r>
      <w:r w:rsidR="002E641D" w:rsidRPr="00903BCB">
        <w:rPr>
          <w:sz w:val="24"/>
          <w:szCs w:val="24"/>
        </w:rPr>
        <w:t xml:space="preserve"> of the total</w:t>
      </w:r>
      <w:r w:rsidR="005C3223" w:rsidRPr="00903BCB">
        <w:rPr>
          <w:sz w:val="24"/>
          <w:szCs w:val="24"/>
        </w:rPr>
        <w:t xml:space="preserve"> amount</w:t>
      </w:r>
      <w:r w:rsidR="002E641D" w:rsidRPr="00903BCB">
        <w:rPr>
          <w:sz w:val="24"/>
          <w:szCs w:val="24"/>
        </w:rPr>
        <w:t xml:space="preserve"> transferred is not explained by this model.</w:t>
      </w:r>
      <w:r w:rsidR="00AD76E0" w:rsidRPr="00903BCB">
        <w:rPr>
          <w:rStyle w:val="FootnoteReference"/>
          <w:sz w:val="24"/>
          <w:szCs w:val="24"/>
        </w:rPr>
        <w:footnoteReference w:id="13"/>
      </w:r>
      <w:r w:rsidR="002E641D" w:rsidRPr="00903BCB">
        <w:rPr>
          <w:sz w:val="24"/>
          <w:szCs w:val="24"/>
        </w:rPr>
        <w:t xml:space="preserve"> This can be viewed as a proxy for the degree of policy </w:t>
      </w:r>
      <w:r w:rsidR="00680859" w:rsidRPr="00903BCB">
        <w:rPr>
          <w:sz w:val="24"/>
          <w:szCs w:val="24"/>
        </w:rPr>
        <w:t>“</w:t>
      </w:r>
      <w:r w:rsidR="002E641D" w:rsidRPr="00903BCB">
        <w:rPr>
          <w:sz w:val="24"/>
          <w:szCs w:val="24"/>
        </w:rPr>
        <w:t>randomness</w:t>
      </w:r>
      <w:r w:rsidR="00680859" w:rsidRPr="00903BCB">
        <w:rPr>
          <w:sz w:val="24"/>
          <w:szCs w:val="24"/>
        </w:rPr>
        <w:t>”</w:t>
      </w:r>
      <w:r w:rsidR="002E641D" w:rsidRPr="00903BCB">
        <w:rPr>
          <w:sz w:val="24"/>
          <w:szCs w:val="24"/>
        </w:rPr>
        <w:t xml:space="preserve"> </w:t>
      </w:r>
      <w:r w:rsidR="00163C01" w:rsidRPr="00903BCB">
        <w:rPr>
          <w:sz w:val="24"/>
          <w:szCs w:val="24"/>
        </w:rPr>
        <w:t>in intergovernmental transfers.</w:t>
      </w:r>
      <w:r w:rsidR="002E641D" w:rsidRPr="00903BCB">
        <w:rPr>
          <w:sz w:val="24"/>
          <w:szCs w:val="24"/>
        </w:rPr>
        <w:t xml:space="preserve"> Second, </w:t>
      </w:r>
      <w:r w:rsidR="00FD7BB2" w:rsidRPr="00903BCB">
        <w:rPr>
          <w:sz w:val="24"/>
          <w:szCs w:val="24"/>
        </w:rPr>
        <w:t>M</w:t>
      </w:r>
      <w:r w:rsidR="00163C01" w:rsidRPr="00903BCB">
        <w:rPr>
          <w:sz w:val="24"/>
          <w:szCs w:val="24"/>
        </w:rPr>
        <w:t>1 adjusts very well to the cases of Amman and Ma</w:t>
      </w:r>
      <w:r w:rsidR="00372165" w:rsidRPr="00903BCB">
        <w:rPr>
          <w:sz w:val="24"/>
          <w:szCs w:val="24"/>
        </w:rPr>
        <w:t>’</w:t>
      </w:r>
      <w:r w:rsidR="00163C01" w:rsidRPr="00903BCB">
        <w:rPr>
          <w:sz w:val="24"/>
          <w:szCs w:val="24"/>
        </w:rPr>
        <w:t>an.</w:t>
      </w:r>
      <w:r w:rsidR="00AD76E0" w:rsidRPr="00903BCB">
        <w:rPr>
          <w:sz w:val="24"/>
          <w:szCs w:val="24"/>
        </w:rPr>
        <w:t xml:space="preserve"> Th</w:t>
      </w:r>
      <w:r w:rsidR="009802EE" w:rsidRPr="00903BCB">
        <w:rPr>
          <w:sz w:val="24"/>
          <w:szCs w:val="24"/>
        </w:rPr>
        <w:t>is</w:t>
      </w:r>
      <w:r w:rsidR="00AD76E0" w:rsidRPr="00903BCB">
        <w:rPr>
          <w:sz w:val="24"/>
          <w:szCs w:val="24"/>
        </w:rPr>
        <w:t xml:space="preserve"> suggest</w:t>
      </w:r>
      <w:r w:rsidR="009802EE" w:rsidRPr="00903BCB">
        <w:rPr>
          <w:sz w:val="24"/>
          <w:szCs w:val="24"/>
        </w:rPr>
        <w:t xml:space="preserve">s that the </w:t>
      </w:r>
      <w:r w:rsidR="00FD7BB2" w:rsidRPr="00903BCB">
        <w:rPr>
          <w:sz w:val="24"/>
          <w:szCs w:val="24"/>
        </w:rPr>
        <w:t xml:space="preserve">combination of </w:t>
      </w:r>
      <w:r w:rsidR="00830ABF" w:rsidRPr="00903BCB">
        <w:rPr>
          <w:sz w:val="24"/>
          <w:szCs w:val="24"/>
        </w:rPr>
        <w:t xml:space="preserve">B </w:t>
      </w:r>
      <w:r w:rsidR="00FD7BB2" w:rsidRPr="00903BCB">
        <w:rPr>
          <w:sz w:val="24"/>
          <w:szCs w:val="24"/>
        </w:rPr>
        <w:t>coefficients estimated by M</w:t>
      </w:r>
      <w:r w:rsidR="009802EE" w:rsidRPr="00903BCB">
        <w:rPr>
          <w:sz w:val="24"/>
          <w:szCs w:val="24"/>
        </w:rPr>
        <w:t>1</w:t>
      </w:r>
      <w:r w:rsidR="00B70A38" w:rsidRPr="00903BCB">
        <w:rPr>
          <w:sz w:val="24"/>
          <w:szCs w:val="24"/>
        </w:rPr>
        <w:t xml:space="preserve"> </w:t>
      </w:r>
      <w:r w:rsidR="00FD7BB2" w:rsidRPr="00903BCB">
        <w:rPr>
          <w:sz w:val="24"/>
          <w:szCs w:val="24"/>
        </w:rPr>
        <w:t xml:space="preserve">- </w:t>
      </w:r>
      <w:r w:rsidR="00214790" w:rsidRPr="00903BCB">
        <w:rPr>
          <w:sz w:val="24"/>
          <w:szCs w:val="24"/>
        </w:rPr>
        <w:t>p</w:t>
      </w:r>
      <w:r w:rsidR="00FD7BB2" w:rsidRPr="00903BCB">
        <w:rPr>
          <w:sz w:val="24"/>
          <w:szCs w:val="24"/>
        </w:rPr>
        <w:t xml:space="preserve">opulation (6%), </w:t>
      </w:r>
      <w:r w:rsidR="00214790" w:rsidRPr="00903BCB">
        <w:rPr>
          <w:sz w:val="24"/>
          <w:szCs w:val="24"/>
        </w:rPr>
        <w:t>a</w:t>
      </w:r>
      <w:r w:rsidR="00FD7BB2" w:rsidRPr="00903BCB">
        <w:rPr>
          <w:sz w:val="24"/>
          <w:szCs w:val="24"/>
        </w:rPr>
        <w:t xml:space="preserve">rea (88%), </w:t>
      </w:r>
      <w:r w:rsidR="00214790" w:rsidRPr="00903BCB">
        <w:rPr>
          <w:sz w:val="24"/>
          <w:szCs w:val="24"/>
        </w:rPr>
        <w:t>p</w:t>
      </w:r>
      <w:r w:rsidR="00FD7BB2" w:rsidRPr="00903BCB">
        <w:rPr>
          <w:sz w:val="24"/>
          <w:szCs w:val="24"/>
        </w:rPr>
        <w:t>op</w:t>
      </w:r>
      <w:r w:rsidR="00214790" w:rsidRPr="00903BCB">
        <w:rPr>
          <w:sz w:val="24"/>
          <w:szCs w:val="24"/>
        </w:rPr>
        <w:t>ulation</w:t>
      </w:r>
      <w:r w:rsidR="00FD7BB2" w:rsidRPr="00903BCB">
        <w:rPr>
          <w:sz w:val="24"/>
          <w:szCs w:val="24"/>
        </w:rPr>
        <w:t xml:space="preserve"> </w:t>
      </w:r>
      <w:r w:rsidR="00214790" w:rsidRPr="00903BCB">
        <w:rPr>
          <w:sz w:val="24"/>
          <w:szCs w:val="24"/>
        </w:rPr>
        <w:t>d</w:t>
      </w:r>
      <w:r w:rsidR="00FD7BB2" w:rsidRPr="00903BCB">
        <w:rPr>
          <w:sz w:val="24"/>
          <w:szCs w:val="24"/>
        </w:rPr>
        <w:t xml:space="preserve">ensity (3%), </w:t>
      </w:r>
      <w:r w:rsidR="00214790" w:rsidRPr="00903BCB">
        <w:rPr>
          <w:sz w:val="24"/>
          <w:szCs w:val="24"/>
        </w:rPr>
        <w:t>p</w:t>
      </w:r>
      <w:r w:rsidR="00FD7BB2" w:rsidRPr="00903BCB">
        <w:rPr>
          <w:sz w:val="24"/>
          <w:szCs w:val="24"/>
        </w:rPr>
        <w:t xml:space="preserve">overty </w:t>
      </w:r>
      <w:r w:rsidR="00214790" w:rsidRPr="00903BCB">
        <w:rPr>
          <w:sz w:val="24"/>
          <w:szCs w:val="24"/>
        </w:rPr>
        <w:t>r</w:t>
      </w:r>
      <w:r w:rsidR="00FD7BB2" w:rsidRPr="00903BCB">
        <w:rPr>
          <w:sz w:val="24"/>
          <w:szCs w:val="24"/>
        </w:rPr>
        <w:t xml:space="preserve">ate (2%) and </w:t>
      </w:r>
      <w:r w:rsidR="00214790" w:rsidRPr="00903BCB">
        <w:rPr>
          <w:sz w:val="24"/>
          <w:szCs w:val="24"/>
        </w:rPr>
        <w:t>u</w:t>
      </w:r>
      <w:r w:rsidR="00FD7BB2" w:rsidRPr="00903BCB">
        <w:rPr>
          <w:sz w:val="24"/>
          <w:szCs w:val="24"/>
        </w:rPr>
        <w:t xml:space="preserve">nemployment rate (1%) - </w:t>
      </w:r>
      <w:r w:rsidR="00B70A38" w:rsidRPr="00903BCB">
        <w:rPr>
          <w:sz w:val="24"/>
          <w:szCs w:val="24"/>
        </w:rPr>
        <w:t xml:space="preserve">are very good approximations </w:t>
      </w:r>
      <w:r w:rsidR="00214790" w:rsidRPr="00903BCB">
        <w:rPr>
          <w:sz w:val="24"/>
          <w:szCs w:val="24"/>
        </w:rPr>
        <w:t>of</w:t>
      </w:r>
      <w:r w:rsidR="00B70A38" w:rsidRPr="00903BCB">
        <w:rPr>
          <w:sz w:val="24"/>
          <w:szCs w:val="24"/>
        </w:rPr>
        <w:t xml:space="preserve"> the decision criteria implicitly applied by Jordanian decision-makers to the amounts transferred</w:t>
      </w:r>
      <w:r w:rsidR="00680859" w:rsidRPr="00903BCB">
        <w:rPr>
          <w:sz w:val="24"/>
          <w:szCs w:val="24"/>
        </w:rPr>
        <w:t xml:space="preserve"> to these two governorates</w:t>
      </w:r>
      <w:r w:rsidR="00B70A38" w:rsidRPr="00903BCB">
        <w:rPr>
          <w:sz w:val="24"/>
          <w:szCs w:val="24"/>
        </w:rPr>
        <w:t>.</w:t>
      </w:r>
      <w:r w:rsidR="005D2907" w:rsidRPr="00903BCB">
        <w:rPr>
          <w:sz w:val="24"/>
          <w:szCs w:val="24"/>
        </w:rPr>
        <w:t xml:space="preserve"> </w:t>
      </w:r>
    </w:p>
    <w:p w14:paraId="73CB5B37" w14:textId="77777777" w:rsidR="00820481" w:rsidRPr="00903BCB" w:rsidRDefault="00D853B3" w:rsidP="008067C2">
      <w:pPr>
        <w:spacing w:line="360" w:lineRule="auto"/>
        <w:ind w:left="0" w:right="0"/>
        <w:rPr>
          <w:sz w:val="24"/>
          <w:szCs w:val="24"/>
        </w:rPr>
      </w:pPr>
      <w:r w:rsidRPr="00903BCB">
        <w:rPr>
          <w:sz w:val="24"/>
          <w:szCs w:val="24"/>
        </w:rPr>
        <w:t xml:space="preserve"> </w:t>
      </w:r>
    </w:p>
    <w:p w14:paraId="5B774F5B" w14:textId="77777777" w:rsidR="00461FCB" w:rsidRPr="00903BCB" w:rsidRDefault="00B53351" w:rsidP="009802EE">
      <w:pPr>
        <w:spacing w:line="276" w:lineRule="auto"/>
        <w:ind w:left="0" w:right="0" w:firstLine="1350"/>
        <w:rPr>
          <w:sz w:val="24"/>
          <w:szCs w:val="24"/>
        </w:rPr>
      </w:pPr>
      <w:r w:rsidRPr="00903BCB">
        <w:rPr>
          <w:b/>
          <w:sz w:val="24"/>
          <w:szCs w:val="24"/>
        </w:rPr>
        <w:t xml:space="preserve">Table </w:t>
      </w:r>
      <w:r w:rsidR="003C76C9" w:rsidRPr="00903BCB">
        <w:rPr>
          <w:b/>
          <w:sz w:val="24"/>
          <w:szCs w:val="24"/>
        </w:rPr>
        <w:t>6</w:t>
      </w:r>
      <w:r w:rsidRPr="00903BCB">
        <w:rPr>
          <w:b/>
          <w:sz w:val="24"/>
          <w:szCs w:val="24"/>
        </w:rPr>
        <w:t>:</w:t>
      </w:r>
      <w:r w:rsidR="004750A5" w:rsidRPr="00903BCB">
        <w:rPr>
          <w:sz w:val="24"/>
          <w:szCs w:val="24"/>
        </w:rPr>
        <w:t xml:space="preserve"> Actual vs. Calibrated</w:t>
      </w:r>
      <w:r w:rsidR="00B32A14" w:rsidRPr="00903BCB">
        <w:rPr>
          <w:sz w:val="24"/>
          <w:szCs w:val="24"/>
        </w:rPr>
        <w:t xml:space="preserve"> Capital Transfers (2011)</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414"/>
        <w:gridCol w:w="2557"/>
      </w:tblGrid>
      <w:tr w:rsidR="00820481" w:rsidRPr="00903BCB" w14:paraId="22FD0580" w14:textId="77777777" w:rsidTr="0015370C">
        <w:tc>
          <w:tcPr>
            <w:tcW w:w="1452" w:type="dxa"/>
            <w:shd w:val="clear" w:color="auto" w:fill="auto"/>
          </w:tcPr>
          <w:p w14:paraId="0B2C4914" w14:textId="77777777" w:rsidR="00820481" w:rsidRPr="00903BCB" w:rsidRDefault="00820481" w:rsidP="00774060">
            <w:pPr>
              <w:autoSpaceDE/>
              <w:autoSpaceDN/>
              <w:adjustRightInd/>
              <w:ind w:left="0" w:right="0"/>
              <w:jc w:val="center"/>
              <w:rPr>
                <w:rFonts w:eastAsia="Calibri"/>
                <w:b/>
                <w:sz w:val="24"/>
                <w:szCs w:val="24"/>
              </w:rPr>
            </w:pPr>
            <w:r w:rsidRPr="00903BCB">
              <w:rPr>
                <w:rFonts w:eastAsia="Calibri"/>
                <w:b/>
                <w:sz w:val="24"/>
                <w:szCs w:val="24"/>
              </w:rPr>
              <w:t>Governorates</w:t>
            </w:r>
          </w:p>
        </w:tc>
        <w:tc>
          <w:tcPr>
            <w:tcW w:w="2414" w:type="dxa"/>
            <w:shd w:val="clear" w:color="auto" w:fill="auto"/>
          </w:tcPr>
          <w:p w14:paraId="3CFC30C6" w14:textId="77777777" w:rsidR="00820481" w:rsidRPr="00903BCB" w:rsidRDefault="00820481" w:rsidP="00774060">
            <w:pPr>
              <w:autoSpaceDE/>
              <w:autoSpaceDN/>
              <w:adjustRightInd/>
              <w:ind w:left="0" w:right="0"/>
              <w:jc w:val="center"/>
              <w:rPr>
                <w:rFonts w:eastAsia="Calibri"/>
                <w:b/>
                <w:sz w:val="24"/>
                <w:szCs w:val="24"/>
              </w:rPr>
            </w:pPr>
            <w:r w:rsidRPr="00903BCB">
              <w:rPr>
                <w:rFonts w:eastAsia="Calibri"/>
                <w:b/>
                <w:sz w:val="24"/>
                <w:szCs w:val="24"/>
              </w:rPr>
              <w:t>Actual Capital Transfers</w:t>
            </w:r>
          </w:p>
          <w:p w14:paraId="31E7F1B9" w14:textId="77777777" w:rsidR="00820481" w:rsidRPr="00903BCB" w:rsidRDefault="00B32A14" w:rsidP="00774060">
            <w:pPr>
              <w:autoSpaceDE/>
              <w:autoSpaceDN/>
              <w:adjustRightInd/>
              <w:ind w:left="0" w:right="0"/>
              <w:jc w:val="center"/>
              <w:rPr>
                <w:rFonts w:eastAsia="Calibri"/>
                <w:b/>
                <w:sz w:val="24"/>
                <w:szCs w:val="24"/>
              </w:rPr>
            </w:pPr>
            <w:r w:rsidRPr="00903BCB">
              <w:rPr>
                <w:rFonts w:eastAsia="Calibri"/>
                <w:b/>
                <w:sz w:val="24"/>
                <w:szCs w:val="24"/>
              </w:rPr>
              <w:t>(Thousands Dinars</w:t>
            </w:r>
            <w:r w:rsidR="00820481" w:rsidRPr="00903BCB">
              <w:rPr>
                <w:rFonts w:eastAsia="Calibri"/>
                <w:b/>
                <w:sz w:val="24"/>
                <w:szCs w:val="24"/>
              </w:rPr>
              <w:t>)</w:t>
            </w:r>
          </w:p>
        </w:tc>
        <w:tc>
          <w:tcPr>
            <w:tcW w:w="2557" w:type="dxa"/>
          </w:tcPr>
          <w:p w14:paraId="2A311F39" w14:textId="77777777" w:rsidR="00820481" w:rsidRPr="00903BCB" w:rsidRDefault="0015370C" w:rsidP="00774060">
            <w:pPr>
              <w:autoSpaceDE/>
              <w:autoSpaceDN/>
              <w:adjustRightInd/>
              <w:ind w:left="0" w:right="0"/>
              <w:jc w:val="center"/>
              <w:rPr>
                <w:rFonts w:eastAsia="Calibri"/>
                <w:b/>
                <w:sz w:val="24"/>
                <w:szCs w:val="24"/>
              </w:rPr>
            </w:pPr>
            <w:r w:rsidRPr="00903BCB">
              <w:rPr>
                <w:rFonts w:eastAsia="Calibri"/>
                <w:b/>
                <w:sz w:val="24"/>
                <w:szCs w:val="24"/>
              </w:rPr>
              <w:t>Calibrated</w:t>
            </w:r>
            <w:r w:rsidR="00820481" w:rsidRPr="00903BCB">
              <w:rPr>
                <w:rFonts w:eastAsia="Calibri"/>
                <w:b/>
                <w:sz w:val="24"/>
                <w:szCs w:val="24"/>
              </w:rPr>
              <w:t xml:space="preserve"> </w:t>
            </w:r>
            <w:r w:rsidRPr="00903BCB">
              <w:rPr>
                <w:rFonts w:eastAsia="Calibri"/>
                <w:b/>
                <w:sz w:val="24"/>
                <w:szCs w:val="24"/>
              </w:rPr>
              <w:t xml:space="preserve">Capital </w:t>
            </w:r>
            <w:r w:rsidR="00820481" w:rsidRPr="00903BCB">
              <w:rPr>
                <w:rFonts w:eastAsia="Calibri"/>
                <w:b/>
                <w:sz w:val="24"/>
                <w:szCs w:val="24"/>
              </w:rPr>
              <w:t>Transfers</w:t>
            </w:r>
          </w:p>
          <w:p w14:paraId="39879F74" w14:textId="77777777" w:rsidR="00820481" w:rsidRPr="00903BCB" w:rsidRDefault="00820481" w:rsidP="00774060">
            <w:pPr>
              <w:autoSpaceDE/>
              <w:autoSpaceDN/>
              <w:adjustRightInd/>
              <w:ind w:left="0" w:right="0"/>
              <w:jc w:val="center"/>
              <w:rPr>
                <w:rFonts w:eastAsia="Calibri"/>
                <w:b/>
                <w:sz w:val="24"/>
                <w:szCs w:val="24"/>
              </w:rPr>
            </w:pPr>
            <w:r w:rsidRPr="00903BCB">
              <w:rPr>
                <w:rFonts w:eastAsia="Calibri"/>
                <w:b/>
                <w:sz w:val="24"/>
                <w:szCs w:val="24"/>
              </w:rPr>
              <w:t>(Thousands Dinars)</w:t>
            </w:r>
          </w:p>
        </w:tc>
      </w:tr>
      <w:tr w:rsidR="00B53351" w:rsidRPr="00903BCB" w14:paraId="2100A7B8" w14:textId="77777777" w:rsidTr="0015370C">
        <w:tc>
          <w:tcPr>
            <w:tcW w:w="1452" w:type="dxa"/>
            <w:shd w:val="clear" w:color="auto" w:fill="auto"/>
            <w:vAlign w:val="bottom"/>
          </w:tcPr>
          <w:p w14:paraId="5FC8C99A" w14:textId="77777777" w:rsidR="00B53351" w:rsidRPr="00903BCB" w:rsidRDefault="00B53351" w:rsidP="00B53351">
            <w:pPr>
              <w:bidi/>
              <w:ind w:left="0" w:right="0"/>
              <w:jc w:val="right"/>
              <w:rPr>
                <w:color w:val="000000"/>
                <w:sz w:val="24"/>
                <w:szCs w:val="24"/>
              </w:rPr>
            </w:pPr>
            <w:r w:rsidRPr="00903BCB">
              <w:rPr>
                <w:color w:val="000000"/>
                <w:sz w:val="24"/>
                <w:szCs w:val="24"/>
              </w:rPr>
              <w:t>Irbid</w:t>
            </w:r>
          </w:p>
        </w:tc>
        <w:tc>
          <w:tcPr>
            <w:tcW w:w="2414" w:type="dxa"/>
            <w:shd w:val="clear" w:color="auto" w:fill="auto"/>
            <w:vAlign w:val="bottom"/>
          </w:tcPr>
          <w:p w14:paraId="34EB0B70" w14:textId="77777777" w:rsidR="00B53351" w:rsidRPr="00903BCB" w:rsidRDefault="00B53351" w:rsidP="002E641D">
            <w:pPr>
              <w:ind w:left="1338"/>
              <w:rPr>
                <w:color w:val="000000"/>
                <w:sz w:val="24"/>
                <w:szCs w:val="24"/>
              </w:rPr>
            </w:pPr>
            <w:r w:rsidRPr="00903BCB">
              <w:rPr>
                <w:color w:val="000000"/>
                <w:sz w:val="24"/>
                <w:szCs w:val="24"/>
              </w:rPr>
              <w:t xml:space="preserve">      57,726 </w:t>
            </w:r>
          </w:p>
        </w:tc>
        <w:tc>
          <w:tcPr>
            <w:tcW w:w="2557" w:type="dxa"/>
            <w:vAlign w:val="bottom"/>
          </w:tcPr>
          <w:p w14:paraId="38229025" w14:textId="77777777" w:rsidR="00B53351" w:rsidRPr="00903BCB" w:rsidRDefault="00B53351" w:rsidP="00820481">
            <w:pPr>
              <w:ind w:right="0"/>
              <w:jc w:val="right"/>
              <w:rPr>
                <w:color w:val="000000"/>
                <w:sz w:val="24"/>
                <w:szCs w:val="24"/>
              </w:rPr>
            </w:pPr>
            <w:r w:rsidRPr="00903BCB">
              <w:rPr>
                <w:color w:val="000000"/>
                <w:sz w:val="24"/>
                <w:szCs w:val="24"/>
              </w:rPr>
              <w:t xml:space="preserve">               66,911 </w:t>
            </w:r>
          </w:p>
        </w:tc>
      </w:tr>
      <w:tr w:rsidR="00B53351" w:rsidRPr="00903BCB" w14:paraId="382000C4" w14:textId="77777777" w:rsidTr="0015370C">
        <w:tc>
          <w:tcPr>
            <w:tcW w:w="1452" w:type="dxa"/>
            <w:shd w:val="clear" w:color="auto" w:fill="auto"/>
            <w:vAlign w:val="bottom"/>
          </w:tcPr>
          <w:p w14:paraId="312F143D" w14:textId="77777777" w:rsidR="00B53351" w:rsidRPr="00903BCB" w:rsidRDefault="00B53351" w:rsidP="00B53351">
            <w:pPr>
              <w:bidi/>
              <w:ind w:left="0" w:right="0"/>
              <w:jc w:val="right"/>
              <w:rPr>
                <w:color w:val="000000"/>
                <w:sz w:val="24"/>
                <w:szCs w:val="24"/>
              </w:rPr>
            </w:pPr>
            <w:r w:rsidRPr="00903BCB">
              <w:rPr>
                <w:color w:val="000000"/>
                <w:sz w:val="24"/>
                <w:szCs w:val="24"/>
              </w:rPr>
              <w:t>Mafraq</w:t>
            </w:r>
          </w:p>
        </w:tc>
        <w:tc>
          <w:tcPr>
            <w:tcW w:w="2414" w:type="dxa"/>
            <w:shd w:val="clear" w:color="auto" w:fill="auto"/>
            <w:vAlign w:val="bottom"/>
          </w:tcPr>
          <w:p w14:paraId="76282C31" w14:textId="77777777" w:rsidR="00B53351" w:rsidRPr="00903BCB" w:rsidRDefault="00B53351" w:rsidP="002E641D">
            <w:pPr>
              <w:ind w:left="1338"/>
              <w:rPr>
                <w:color w:val="000000"/>
                <w:sz w:val="24"/>
                <w:szCs w:val="24"/>
              </w:rPr>
            </w:pPr>
            <w:r w:rsidRPr="00903BCB">
              <w:rPr>
                <w:color w:val="000000"/>
                <w:sz w:val="24"/>
                <w:szCs w:val="24"/>
              </w:rPr>
              <w:t xml:space="preserve">      83,851 </w:t>
            </w:r>
          </w:p>
        </w:tc>
        <w:tc>
          <w:tcPr>
            <w:tcW w:w="2557" w:type="dxa"/>
            <w:vAlign w:val="bottom"/>
          </w:tcPr>
          <w:p w14:paraId="7E34514D" w14:textId="77777777" w:rsidR="00B53351" w:rsidRPr="00903BCB" w:rsidRDefault="00B53351" w:rsidP="00820481">
            <w:pPr>
              <w:ind w:right="0"/>
              <w:jc w:val="right"/>
              <w:rPr>
                <w:color w:val="000000"/>
                <w:sz w:val="24"/>
                <w:szCs w:val="24"/>
              </w:rPr>
            </w:pPr>
            <w:r w:rsidRPr="00903BCB">
              <w:rPr>
                <w:color w:val="000000"/>
                <w:sz w:val="24"/>
                <w:szCs w:val="24"/>
              </w:rPr>
              <w:t xml:space="preserve">               40,754 </w:t>
            </w:r>
          </w:p>
        </w:tc>
      </w:tr>
      <w:tr w:rsidR="00B53351" w:rsidRPr="00903BCB" w14:paraId="56B834F2" w14:textId="77777777" w:rsidTr="0015370C">
        <w:tc>
          <w:tcPr>
            <w:tcW w:w="1452" w:type="dxa"/>
            <w:shd w:val="clear" w:color="auto" w:fill="auto"/>
            <w:vAlign w:val="bottom"/>
          </w:tcPr>
          <w:p w14:paraId="3ECA3A8B" w14:textId="77777777" w:rsidR="00B53351" w:rsidRPr="00903BCB" w:rsidRDefault="00B53351" w:rsidP="00B53351">
            <w:pPr>
              <w:bidi/>
              <w:ind w:left="0" w:right="0"/>
              <w:jc w:val="right"/>
              <w:rPr>
                <w:color w:val="000000"/>
                <w:sz w:val="24"/>
                <w:szCs w:val="24"/>
              </w:rPr>
            </w:pPr>
            <w:r w:rsidRPr="00903BCB">
              <w:rPr>
                <w:color w:val="000000"/>
                <w:sz w:val="24"/>
                <w:szCs w:val="24"/>
              </w:rPr>
              <w:t>Jarash</w:t>
            </w:r>
          </w:p>
        </w:tc>
        <w:tc>
          <w:tcPr>
            <w:tcW w:w="2414" w:type="dxa"/>
            <w:shd w:val="clear" w:color="auto" w:fill="auto"/>
            <w:vAlign w:val="bottom"/>
          </w:tcPr>
          <w:p w14:paraId="6F34AA14" w14:textId="77777777" w:rsidR="00B53351" w:rsidRPr="00903BCB" w:rsidRDefault="00B53351" w:rsidP="002E641D">
            <w:pPr>
              <w:ind w:left="1338"/>
              <w:rPr>
                <w:color w:val="000000"/>
                <w:sz w:val="24"/>
                <w:szCs w:val="24"/>
              </w:rPr>
            </w:pPr>
            <w:r w:rsidRPr="00903BCB">
              <w:rPr>
                <w:color w:val="000000"/>
                <w:sz w:val="24"/>
                <w:szCs w:val="24"/>
              </w:rPr>
              <w:t xml:space="preserve">      16,668 </w:t>
            </w:r>
          </w:p>
        </w:tc>
        <w:tc>
          <w:tcPr>
            <w:tcW w:w="2557" w:type="dxa"/>
            <w:vAlign w:val="bottom"/>
          </w:tcPr>
          <w:p w14:paraId="526DBB53" w14:textId="77777777" w:rsidR="00B53351" w:rsidRPr="00903BCB" w:rsidRDefault="00B53351" w:rsidP="00820481">
            <w:pPr>
              <w:ind w:right="0"/>
              <w:jc w:val="right"/>
              <w:rPr>
                <w:color w:val="000000"/>
                <w:sz w:val="24"/>
                <w:szCs w:val="24"/>
              </w:rPr>
            </w:pPr>
            <w:r w:rsidRPr="00903BCB">
              <w:rPr>
                <w:color w:val="000000"/>
                <w:sz w:val="24"/>
                <w:szCs w:val="24"/>
              </w:rPr>
              <w:t xml:space="preserve">               11,415 </w:t>
            </w:r>
          </w:p>
        </w:tc>
      </w:tr>
      <w:tr w:rsidR="00B53351" w:rsidRPr="00903BCB" w14:paraId="147E7A03" w14:textId="77777777" w:rsidTr="0015370C">
        <w:tc>
          <w:tcPr>
            <w:tcW w:w="1452" w:type="dxa"/>
            <w:shd w:val="clear" w:color="auto" w:fill="auto"/>
            <w:vAlign w:val="bottom"/>
          </w:tcPr>
          <w:p w14:paraId="73D400ED" w14:textId="77777777" w:rsidR="00B53351" w:rsidRPr="00903BCB" w:rsidRDefault="00B53351" w:rsidP="00B53351">
            <w:pPr>
              <w:bidi/>
              <w:ind w:left="0" w:right="0"/>
              <w:jc w:val="right"/>
              <w:rPr>
                <w:color w:val="000000"/>
                <w:sz w:val="24"/>
                <w:szCs w:val="24"/>
              </w:rPr>
            </w:pPr>
            <w:r w:rsidRPr="00903BCB">
              <w:rPr>
                <w:color w:val="000000"/>
                <w:sz w:val="24"/>
                <w:szCs w:val="24"/>
              </w:rPr>
              <w:t>Ajloun</w:t>
            </w:r>
          </w:p>
        </w:tc>
        <w:tc>
          <w:tcPr>
            <w:tcW w:w="2414" w:type="dxa"/>
            <w:shd w:val="clear" w:color="auto" w:fill="auto"/>
            <w:vAlign w:val="bottom"/>
          </w:tcPr>
          <w:p w14:paraId="27347C36" w14:textId="77777777" w:rsidR="00B53351" w:rsidRPr="00903BCB" w:rsidRDefault="00B53351" w:rsidP="002E641D">
            <w:pPr>
              <w:ind w:left="1338"/>
              <w:rPr>
                <w:color w:val="000000"/>
                <w:sz w:val="24"/>
                <w:szCs w:val="24"/>
              </w:rPr>
            </w:pPr>
            <w:r w:rsidRPr="00903BCB">
              <w:rPr>
                <w:color w:val="000000"/>
                <w:sz w:val="24"/>
                <w:szCs w:val="24"/>
              </w:rPr>
              <w:t xml:space="preserve">      13,110 </w:t>
            </w:r>
          </w:p>
        </w:tc>
        <w:tc>
          <w:tcPr>
            <w:tcW w:w="2557" w:type="dxa"/>
            <w:vAlign w:val="bottom"/>
          </w:tcPr>
          <w:p w14:paraId="238DDDB0" w14:textId="77777777" w:rsidR="00B53351" w:rsidRPr="00903BCB" w:rsidRDefault="00B53351" w:rsidP="00820481">
            <w:pPr>
              <w:ind w:right="0"/>
              <w:jc w:val="right"/>
              <w:rPr>
                <w:color w:val="000000"/>
                <w:sz w:val="24"/>
                <w:szCs w:val="24"/>
              </w:rPr>
            </w:pPr>
            <w:r w:rsidRPr="00903BCB">
              <w:rPr>
                <w:color w:val="000000"/>
                <w:sz w:val="24"/>
                <w:szCs w:val="24"/>
              </w:rPr>
              <w:t xml:space="preserve">                 8,843 </w:t>
            </w:r>
          </w:p>
        </w:tc>
      </w:tr>
      <w:tr w:rsidR="00B53351" w:rsidRPr="00903BCB" w14:paraId="1F18B5FE" w14:textId="77777777" w:rsidTr="0015370C">
        <w:tc>
          <w:tcPr>
            <w:tcW w:w="1452" w:type="dxa"/>
            <w:shd w:val="clear" w:color="auto" w:fill="auto"/>
            <w:vAlign w:val="bottom"/>
          </w:tcPr>
          <w:p w14:paraId="531B8D18" w14:textId="77777777" w:rsidR="00B53351" w:rsidRPr="00903BCB" w:rsidRDefault="00B53351" w:rsidP="00B53351">
            <w:pPr>
              <w:bidi/>
              <w:ind w:left="0" w:right="0"/>
              <w:jc w:val="right"/>
              <w:rPr>
                <w:color w:val="000000"/>
                <w:sz w:val="24"/>
                <w:szCs w:val="24"/>
              </w:rPr>
            </w:pPr>
            <w:r w:rsidRPr="00903BCB">
              <w:rPr>
                <w:color w:val="000000"/>
                <w:sz w:val="24"/>
                <w:szCs w:val="24"/>
              </w:rPr>
              <w:t>Amman</w:t>
            </w:r>
          </w:p>
        </w:tc>
        <w:tc>
          <w:tcPr>
            <w:tcW w:w="2414" w:type="dxa"/>
            <w:shd w:val="clear" w:color="auto" w:fill="auto"/>
            <w:vAlign w:val="bottom"/>
          </w:tcPr>
          <w:p w14:paraId="6300C0E9" w14:textId="77777777" w:rsidR="00B53351" w:rsidRPr="00903BCB" w:rsidRDefault="00B53351" w:rsidP="002E641D">
            <w:pPr>
              <w:ind w:left="1338"/>
              <w:rPr>
                <w:color w:val="000000"/>
                <w:sz w:val="24"/>
                <w:szCs w:val="24"/>
              </w:rPr>
            </w:pPr>
            <w:r w:rsidRPr="00903BCB">
              <w:rPr>
                <w:color w:val="000000"/>
                <w:sz w:val="24"/>
                <w:szCs w:val="24"/>
              </w:rPr>
              <w:t xml:space="preserve">    149,205 </w:t>
            </w:r>
          </w:p>
        </w:tc>
        <w:tc>
          <w:tcPr>
            <w:tcW w:w="2557" w:type="dxa"/>
            <w:vAlign w:val="bottom"/>
          </w:tcPr>
          <w:p w14:paraId="2EF599C4" w14:textId="77777777" w:rsidR="00B53351" w:rsidRPr="00903BCB" w:rsidRDefault="00B53351" w:rsidP="00820481">
            <w:pPr>
              <w:ind w:right="0"/>
              <w:jc w:val="right"/>
              <w:rPr>
                <w:color w:val="000000"/>
                <w:sz w:val="24"/>
                <w:szCs w:val="24"/>
              </w:rPr>
            </w:pPr>
            <w:r w:rsidRPr="00903BCB">
              <w:rPr>
                <w:color w:val="000000"/>
                <w:sz w:val="24"/>
                <w:szCs w:val="24"/>
              </w:rPr>
              <w:t xml:space="preserve">             149,206 </w:t>
            </w:r>
          </w:p>
        </w:tc>
      </w:tr>
      <w:tr w:rsidR="00B53351" w:rsidRPr="00903BCB" w14:paraId="7DACE53A" w14:textId="77777777" w:rsidTr="0015370C">
        <w:tc>
          <w:tcPr>
            <w:tcW w:w="1452" w:type="dxa"/>
            <w:shd w:val="clear" w:color="auto" w:fill="auto"/>
            <w:vAlign w:val="bottom"/>
          </w:tcPr>
          <w:p w14:paraId="120A972F" w14:textId="77777777" w:rsidR="00B53351" w:rsidRPr="00903BCB" w:rsidRDefault="00B53351" w:rsidP="00B53351">
            <w:pPr>
              <w:bidi/>
              <w:ind w:left="0" w:right="0"/>
              <w:jc w:val="right"/>
              <w:rPr>
                <w:color w:val="000000"/>
                <w:sz w:val="24"/>
                <w:szCs w:val="24"/>
              </w:rPr>
            </w:pPr>
            <w:r w:rsidRPr="00903BCB">
              <w:rPr>
                <w:color w:val="000000"/>
                <w:sz w:val="24"/>
                <w:szCs w:val="24"/>
              </w:rPr>
              <w:t>Balqa</w:t>
            </w:r>
          </w:p>
        </w:tc>
        <w:tc>
          <w:tcPr>
            <w:tcW w:w="2414" w:type="dxa"/>
            <w:shd w:val="clear" w:color="auto" w:fill="auto"/>
            <w:vAlign w:val="bottom"/>
          </w:tcPr>
          <w:p w14:paraId="3B56AB9C" w14:textId="77777777" w:rsidR="00B53351" w:rsidRPr="00903BCB" w:rsidRDefault="00B53351" w:rsidP="002E641D">
            <w:pPr>
              <w:ind w:left="1338"/>
              <w:rPr>
                <w:color w:val="000000"/>
                <w:sz w:val="24"/>
                <w:szCs w:val="24"/>
              </w:rPr>
            </w:pPr>
            <w:r w:rsidRPr="00903BCB">
              <w:rPr>
                <w:color w:val="000000"/>
                <w:sz w:val="24"/>
                <w:szCs w:val="24"/>
              </w:rPr>
              <w:t xml:space="preserve">      36,779 </w:t>
            </w:r>
          </w:p>
        </w:tc>
        <w:tc>
          <w:tcPr>
            <w:tcW w:w="2557" w:type="dxa"/>
            <w:vAlign w:val="bottom"/>
          </w:tcPr>
          <w:p w14:paraId="070248BB" w14:textId="77777777" w:rsidR="00B53351" w:rsidRPr="00903BCB" w:rsidRDefault="00B53351" w:rsidP="00820481">
            <w:pPr>
              <w:ind w:right="0"/>
              <w:jc w:val="right"/>
              <w:rPr>
                <w:color w:val="000000"/>
                <w:sz w:val="24"/>
                <w:szCs w:val="24"/>
              </w:rPr>
            </w:pPr>
            <w:r w:rsidRPr="00903BCB">
              <w:rPr>
                <w:color w:val="000000"/>
                <w:sz w:val="24"/>
                <w:szCs w:val="24"/>
              </w:rPr>
              <w:t xml:space="preserve">               25,652 </w:t>
            </w:r>
          </w:p>
        </w:tc>
      </w:tr>
      <w:tr w:rsidR="00B53351" w:rsidRPr="00903BCB" w14:paraId="431DC600" w14:textId="77777777" w:rsidTr="0015370C">
        <w:tc>
          <w:tcPr>
            <w:tcW w:w="1452" w:type="dxa"/>
            <w:shd w:val="clear" w:color="auto" w:fill="auto"/>
            <w:vAlign w:val="bottom"/>
          </w:tcPr>
          <w:p w14:paraId="6CE2E438" w14:textId="77777777" w:rsidR="00B53351" w:rsidRPr="00903BCB" w:rsidRDefault="00B53351" w:rsidP="00B53351">
            <w:pPr>
              <w:bidi/>
              <w:ind w:left="0" w:right="0"/>
              <w:jc w:val="right"/>
              <w:rPr>
                <w:color w:val="000000"/>
                <w:sz w:val="24"/>
                <w:szCs w:val="24"/>
              </w:rPr>
            </w:pPr>
            <w:r w:rsidRPr="00903BCB">
              <w:rPr>
                <w:color w:val="000000"/>
                <w:sz w:val="24"/>
                <w:szCs w:val="24"/>
              </w:rPr>
              <w:t>Zarqa</w:t>
            </w:r>
          </w:p>
        </w:tc>
        <w:tc>
          <w:tcPr>
            <w:tcW w:w="2414" w:type="dxa"/>
            <w:shd w:val="clear" w:color="auto" w:fill="auto"/>
            <w:vAlign w:val="bottom"/>
          </w:tcPr>
          <w:p w14:paraId="575A25D0" w14:textId="77777777" w:rsidR="00B53351" w:rsidRPr="00903BCB" w:rsidRDefault="00B53351" w:rsidP="002E641D">
            <w:pPr>
              <w:ind w:left="1338"/>
              <w:rPr>
                <w:color w:val="000000"/>
                <w:sz w:val="24"/>
                <w:szCs w:val="24"/>
              </w:rPr>
            </w:pPr>
            <w:r w:rsidRPr="00903BCB">
              <w:rPr>
                <w:color w:val="000000"/>
                <w:sz w:val="24"/>
                <w:szCs w:val="24"/>
              </w:rPr>
              <w:t xml:space="preserve">      93,977 </w:t>
            </w:r>
          </w:p>
        </w:tc>
        <w:tc>
          <w:tcPr>
            <w:tcW w:w="2557" w:type="dxa"/>
            <w:vAlign w:val="bottom"/>
          </w:tcPr>
          <w:p w14:paraId="386984F0" w14:textId="77777777" w:rsidR="00B53351" w:rsidRPr="00903BCB" w:rsidRDefault="00B53351" w:rsidP="00820481">
            <w:pPr>
              <w:ind w:right="0"/>
              <w:jc w:val="right"/>
              <w:rPr>
                <w:color w:val="000000"/>
                <w:sz w:val="24"/>
                <w:szCs w:val="24"/>
              </w:rPr>
            </w:pPr>
            <w:r w:rsidRPr="00903BCB">
              <w:rPr>
                <w:color w:val="000000"/>
                <w:sz w:val="24"/>
                <w:szCs w:val="24"/>
              </w:rPr>
              <w:t xml:space="preserve">               59,044 </w:t>
            </w:r>
          </w:p>
        </w:tc>
      </w:tr>
      <w:tr w:rsidR="00B53351" w:rsidRPr="00903BCB" w14:paraId="0872EA37" w14:textId="77777777" w:rsidTr="0015370C">
        <w:tc>
          <w:tcPr>
            <w:tcW w:w="1452" w:type="dxa"/>
            <w:shd w:val="clear" w:color="auto" w:fill="auto"/>
            <w:vAlign w:val="bottom"/>
          </w:tcPr>
          <w:p w14:paraId="6841CD88" w14:textId="77777777" w:rsidR="00B53351" w:rsidRPr="00903BCB" w:rsidRDefault="00B53351" w:rsidP="00B53351">
            <w:pPr>
              <w:bidi/>
              <w:ind w:left="0" w:right="0"/>
              <w:jc w:val="right"/>
              <w:rPr>
                <w:color w:val="000000"/>
                <w:sz w:val="24"/>
                <w:szCs w:val="24"/>
              </w:rPr>
            </w:pPr>
            <w:r w:rsidRPr="00903BCB">
              <w:rPr>
                <w:color w:val="000000"/>
                <w:sz w:val="24"/>
                <w:szCs w:val="24"/>
              </w:rPr>
              <w:t>Madaba</w:t>
            </w:r>
          </w:p>
        </w:tc>
        <w:tc>
          <w:tcPr>
            <w:tcW w:w="2414" w:type="dxa"/>
            <w:shd w:val="clear" w:color="auto" w:fill="auto"/>
            <w:vAlign w:val="bottom"/>
          </w:tcPr>
          <w:p w14:paraId="3F76CAF3" w14:textId="77777777" w:rsidR="00B53351" w:rsidRPr="00903BCB" w:rsidRDefault="00B53351" w:rsidP="002E641D">
            <w:pPr>
              <w:ind w:left="1338"/>
              <w:rPr>
                <w:color w:val="000000"/>
                <w:sz w:val="24"/>
                <w:szCs w:val="24"/>
              </w:rPr>
            </w:pPr>
            <w:r w:rsidRPr="00903BCB">
              <w:rPr>
                <w:color w:val="000000"/>
                <w:sz w:val="24"/>
                <w:szCs w:val="24"/>
              </w:rPr>
              <w:t xml:space="preserve">      12,501 </w:t>
            </w:r>
          </w:p>
        </w:tc>
        <w:tc>
          <w:tcPr>
            <w:tcW w:w="2557" w:type="dxa"/>
            <w:vAlign w:val="bottom"/>
          </w:tcPr>
          <w:p w14:paraId="4B549F5F" w14:textId="77777777" w:rsidR="00B53351" w:rsidRPr="00903BCB" w:rsidRDefault="00B53351" w:rsidP="00820481">
            <w:pPr>
              <w:ind w:right="0"/>
              <w:jc w:val="right"/>
              <w:rPr>
                <w:color w:val="000000"/>
                <w:sz w:val="24"/>
                <w:szCs w:val="24"/>
              </w:rPr>
            </w:pPr>
            <w:r w:rsidRPr="00903BCB">
              <w:rPr>
                <w:color w:val="000000"/>
                <w:sz w:val="24"/>
                <w:szCs w:val="24"/>
              </w:rPr>
              <w:t xml:space="preserve">               10,036 </w:t>
            </w:r>
          </w:p>
        </w:tc>
      </w:tr>
      <w:tr w:rsidR="00B53351" w:rsidRPr="00903BCB" w14:paraId="57284133" w14:textId="77777777" w:rsidTr="0015370C">
        <w:tc>
          <w:tcPr>
            <w:tcW w:w="1452" w:type="dxa"/>
            <w:shd w:val="clear" w:color="auto" w:fill="auto"/>
            <w:vAlign w:val="bottom"/>
          </w:tcPr>
          <w:p w14:paraId="3B8FE645" w14:textId="77777777" w:rsidR="00B53351" w:rsidRPr="00903BCB" w:rsidRDefault="00B53351" w:rsidP="00B53351">
            <w:pPr>
              <w:bidi/>
              <w:ind w:left="0" w:right="0"/>
              <w:jc w:val="right"/>
              <w:rPr>
                <w:color w:val="000000"/>
                <w:sz w:val="24"/>
                <w:szCs w:val="24"/>
              </w:rPr>
            </w:pPr>
            <w:r w:rsidRPr="00903BCB">
              <w:rPr>
                <w:color w:val="000000"/>
                <w:sz w:val="24"/>
                <w:szCs w:val="24"/>
              </w:rPr>
              <w:t>Karak</w:t>
            </w:r>
          </w:p>
        </w:tc>
        <w:tc>
          <w:tcPr>
            <w:tcW w:w="2414" w:type="dxa"/>
            <w:shd w:val="clear" w:color="auto" w:fill="auto"/>
            <w:vAlign w:val="bottom"/>
          </w:tcPr>
          <w:p w14:paraId="1A81B7F1" w14:textId="77777777" w:rsidR="00B53351" w:rsidRPr="00903BCB" w:rsidRDefault="00B53351" w:rsidP="002E641D">
            <w:pPr>
              <w:ind w:left="1338"/>
              <w:rPr>
                <w:color w:val="000000"/>
                <w:sz w:val="24"/>
                <w:szCs w:val="24"/>
              </w:rPr>
            </w:pPr>
            <w:r w:rsidRPr="00903BCB">
              <w:rPr>
                <w:color w:val="000000"/>
                <w:sz w:val="24"/>
                <w:szCs w:val="24"/>
              </w:rPr>
              <w:t xml:space="preserve">      49,085 </w:t>
            </w:r>
          </w:p>
        </w:tc>
        <w:tc>
          <w:tcPr>
            <w:tcW w:w="2557" w:type="dxa"/>
            <w:vAlign w:val="bottom"/>
          </w:tcPr>
          <w:p w14:paraId="7D7A47FA" w14:textId="77777777" w:rsidR="00B53351" w:rsidRPr="00903BCB" w:rsidRDefault="00B53351" w:rsidP="00820481">
            <w:pPr>
              <w:ind w:right="0"/>
              <w:jc w:val="right"/>
              <w:rPr>
                <w:color w:val="000000"/>
                <w:sz w:val="24"/>
                <w:szCs w:val="24"/>
              </w:rPr>
            </w:pPr>
            <w:r w:rsidRPr="00903BCB">
              <w:rPr>
                <w:color w:val="000000"/>
                <w:sz w:val="24"/>
                <w:szCs w:val="24"/>
              </w:rPr>
              <w:t xml:space="preserve">               17,442 </w:t>
            </w:r>
          </w:p>
        </w:tc>
      </w:tr>
      <w:tr w:rsidR="00B53351" w:rsidRPr="00903BCB" w14:paraId="05995E8B" w14:textId="77777777" w:rsidTr="0015370C">
        <w:tc>
          <w:tcPr>
            <w:tcW w:w="1452" w:type="dxa"/>
            <w:shd w:val="clear" w:color="auto" w:fill="auto"/>
            <w:vAlign w:val="bottom"/>
          </w:tcPr>
          <w:p w14:paraId="3E5A1346" w14:textId="77777777" w:rsidR="00B53351" w:rsidRPr="00903BCB" w:rsidRDefault="00B53351" w:rsidP="00B53351">
            <w:pPr>
              <w:bidi/>
              <w:ind w:left="0" w:right="0"/>
              <w:jc w:val="right"/>
              <w:rPr>
                <w:color w:val="000000"/>
                <w:sz w:val="24"/>
                <w:szCs w:val="24"/>
              </w:rPr>
            </w:pPr>
            <w:r w:rsidRPr="00903BCB">
              <w:rPr>
                <w:color w:val="000000"/>
                <w:sz w:val="24"/>
                <w:szCs w:val="24"/>
              </w:rPr>
              <w:t>Tafilah</w:t>
            </w:r>
          </w:p>
        </w:tc>
        <w:tc>
          <w:tcPr>
            <w:tcW w:w="2414" w:type="dxa"/>
            <w:shd w:val="clear" w:color="auto" w:fill="auto"/>
            <w:vAlign w:val="bottom"/>
          </w:tcPr>
          <w:p w14:paraId="20A244CA" w14:textId="77777777" w:rsidR="00B53351" w:rsidRPr="00903BCB" w:rsidRDefault="00B53351" w:rsidP="002E641D">
            <w:pPr>
              <w:ind w:left="1338"/>
              <w:rPr>
                <w:color w:val="000000"/>
                <w:sz w:val="24"/>
                <w:szCs w:val="24"/>
              </w:rPr>
            </w:pPr>
            <w:r w:rsidRPr="00903BCB">
              <w:rPr>
                <w:color w:val="000000"/>
                <w:sz w:val="24"/>
                <w:szCs w:val="24"/>
              </w:rPr>
              <w:t xml:space="preserve">      16,237 </w:t>
            </w:r>
          </w:p>
        </w:tc>
        <w:tc>
          <w:tcPr>
            <w:tcW w:w="2557" w:type="dxa"/>
            <w:vAlign w:val="bottom"/>
          </w:tcPr>
          <w:p w14:paraId="0C35C37E" w14:textId="77777777" w:rsidR="00B53351" w:rsidRPr="00903BCB" w:rsidRDefault="00B53351" w:rsidP="00820481">
            <w:pPr>
              <w:ind w:right="0"/>
              <w:jc w:val="right"/>
              <w:rPr>
                <w:color w:val="000000"/>
                <w:sz w:val="24"/>
                <w:szCs w:val="24"/>
              </w:rPr>
            </w:pPr>
            <w:r w:rsidRPr="00903BCB">
              <w:rPr>
                <w:color w:val="000000"/>
                <w:sz w:val="24"/>
                <w:szCs w:val="24"/>
              </w:rPr>
              <w:t xml:space="preserve">                 7,105 </w:t>
            </w:r>
          </w:p>
        </w:tc>
      </w:tr>
      <w:tr w:rsidR="00B53351" w:rsidRPr="00903BCB" w14:paraId="58297A6C" w14:textId="77777777" w:rsidTr="0015370C">
        <w:tc>
          <w:tcPr>
            <w:tcW w:w="1452" w:type="dxa"/>
            <w:shd w:val="clear" w:color="auto" w:fill="auto"/>
            <w:vAlign w:val="bottom"/>
          </w:tcPr>
          <w:p w14:paraId="67CC9C96" w14:textId="77777777" w:rsidR="00B53351" w:rsidRPr="00903BCB" w:rsidRDefault="00B53351" w:rsidP="00B53351">
            <w:pPr>
              <w:bidi/>
              <w:ind w:left="0" w:right="0"/>
              <w:jc w:val="right"/>
              <w:rPr>
                <w:color w:val="000000"/>
                <w:sz w:val="24"/>
                <w:szCs w:val="24"/>
              </w:rPr>
            </w:pPr>
            <w:r w:rsidRPr="00903BCB">
              <w:rPr>
                <w:color w:val="000000"/>
                <w:sz w:val="24"/>
                <w:szCs w:val="24"/>
              </w:rPr>
              <w:t>Ma</w:t>
            </w:r>
            <w:r w:rsidR="00372165" w:rsidRPr="00903BCB">
              <w:rPr>
                <w:color w:val="000000"/>
                <w:sz w:val="24"/>
                <w:szCs w:val="24"/>
              </w:rPr>
              <w:t>’</w:t>
            </w:r>
            <w:r w:rsidRPr="00903BCB">
              <w:rPr>
                <w:color w:val="000000"/>
                <w:sz w:val="24"/>
                <w:szCs w:val="24"/>
              </w:rPr>
              <w:t>an</w:t>
            </w:r>
          </w:p>
        </w:tc>
        <w:tc>
          <w:tcPr>
            <w:tcW w:w="2414" w:type="dxa"/>
            <w:shd w:val="clear" w:color="auto" w:fill="auto"/>
            <w:vAlign w:val="bottom"/>
          </w:tcPr>
          <w:p w14:paraId="2FA01922" w14:textId="77777777" w:rsidR="00B53351" w:rsidRPr="00903BCB" w:rsidRDefault="00B53351" w:rsidP="002E641D">
            <w:pPr>
              <w:ind w:left="1338"/>
              <w:rPr>
                <w:color w:val="000000"/>
                <w:sz w:val="24"/>
                <w:szCs w:val="24"/>
              </w:rPr>
            </w:pPr>
            <w:r w:rsidRPr="00903BCB">
              <w:rPr>
                <w:color w:val="000000"/>
                <w:sz w:val="24"/>
                <w:szCs w:val="24"/>
              </w:rPr>
              <w:t xml:space="preserve">      35,514 </w:t>
            </w:r>
          </w:p>
        </w:tc>
        <w:tc>
          <w:tcPr>
            <w:tcW w:w="2557" w:type="dxa"/>
            <w:vAlign w:val="bottom"/>
          </w:tcPr>
          <w:p w14:paraId="2BF103BF" w14:textId="77777777" w:rsidR="00B53351" w:rsidRPr="00903BCB" w:rsidRDefault="00B53351" w:rsidP="00820481">
            <w:pPr>
              <w:ind w:right="0"/>
              <w:jc w:val="right"/>
              <w:rPr>
                <w:color w:val="000000"/>
                <w:sz w:val="24"/>
                <w:szCs w:val="24"/>
              </w:rPr>
            </w:pPr>
            <w:r w:rsidRPr="00903BCB">
              <w:rPr>
                <w:color w:val="000000"/>
                <w:sz w:val="24"/>
                <w:szCs w:val="24"/>
              </w:rPr>
              <w:t xml:space="preserve">               36,011 </w:t>
            </w:r>
          </w:p>
        </w:tc>
      </w:tr>
      <w:tr w:rsidR="00B53351" w:rsidRPr="00903BCB" w14:paraId="5EB593AC" w14:textId="77777777" w:rsidTr="0015370C">
        <w:tc>
          <w:tcPr>
            <w:tcW w:w="1452" w:type="dxa"/>
            <w:shd w:val="clear" w:color="auto" w:fill="auto"/>
            <w:vAlign w:val="bottom"/>
          </w:tcPr>
          <w:p w14:paraId="4A4A5860" w14:textId="77777777" w:rsidR="00B53351" w:rsidRPr="00903BCB" w:rsidRDefault="00B53351" w:rsidP="00B53351">
            <w:pPr>
              <w:bidi/>
              <w:ind w:left="0" w:right="0"/>
              <w:jc w:val="right"/>
              <w:rPr>
                <w:color w:val="000000"/>
                <w:sz w:val="24"/>
                <w:szCs w:val="24"/>
              </w:rPr>
            </w:pPr>
            <w:r w:rsidRPr="00903BCB">
              <w:rPr>
                <w:color w:val="000000"/>
                <w:sz w:val="24"/>
                <w:szCs w:val="24"/>
              </w:rPr>
              <w:t>Aqaba</w:t>
            </w:r>
          </w:p>
        </w:tc>
        <w:tc>
          <w:tcPr>
            <w:tcW w:w="2414" w:type="dxa"/>
            <w:shd w:val="clear" w:color="auto" w:fill="auto"/>
            <w:vAlign w:val="bottom"/>
          </w:tcPr>
          <w:p w14:paraId="212D3E3B" w14:textId="77777777" w:rsidR="00B53351" w:rsidRPr="00903BCB" w:rsidRDefault="00B53351" w:rsidP="002E641D">
            <w:pPr>
              <w:ind w:left="1338"/>
              <w:rPr>
                <w:color w:val="000000"/>
                <w:sz w:val="24"/>
                <w:szCs w:val="24"/>
              </w:rPr>
            </w:pPr>
            <w:r w:rsidRPr="00903BCB">
              <w:rPr>
                <w:color w:val="000000"/>
                <w:sz w:val="24"/>
                <w:szCs w:val="24"/>
              </w:rPr>
              <w:t xml:space="preserve">      16,075 </w:t>
            </w:r>
          </w:p>
        </w:tc>
        <w:tc>
          <w:tcPr>
            <w:tcW w:w="2557" w:type="dxa"/>
            <w:vAlign w:val="bottom"/>
          </w:tcPr>
          <w:p w14:paraId="5FB931BA" w14:textId="77777777" w:rsidR="00B53351" w:rsidRPr="00903BCB" w:rsidRDefault="00B53351" w:rsidP="00820481">
            <w:pPr>
              <w:ind w:right="0"/>
              <w:jc w:val="right"/>
              <w:rPr>
                <w:color w:val="000000"/>
                <w:sz w:val="24"/>
                <w:szCs w:val="24"/>
              </w:rPr>
            </w:pPr>
            <w:r w:rsidRPr="00903BCB">
              <w:rPr>
                <w:color w:val="000000"/>
                <w:sz w:val="24"/>
                <w:szCs w:val="24"/>
              </w:rPr>
              <w:t xml:space="preserve">               14,117 </w:t>
            </w:r>
          </w:p>
        </w:tc>
      </w:tr>
      <w:tr w:rsidR="00820481" w:rsidRPr="00903BCB" w14:paraId="6A75F179" w14:textId="77777777" w:rsidTr="0015370C">
        <w:tc>
          <w:tcPr>
            <w:tcW w:w="1452" w:type="dxa"/>
            <w:shd w:val="clear" w:color="auto" w:fill="auto"/>
            <w:vAlign w:val="bottom"/>
          </w:tcPr>
          <w:p w14:paraId="76EF04EC" w14:textId="77777777" w:rsidR="00820481" w:rsidRPr="00903BCB" w:rsidRDefault="00820481" w:rsidP="00774060">
            <w:pPr>
              <w:autoSpaceDE/>
              <w:autoSpaceDN/>
              <w:adjustRightInd/>
              <w:ind w:left="0" w:right="0"/>
              <w:jc w:val="left"/>
              <w:rPr>
                <w:rFonts w:eastAsia="Calibri"/>
                <w:b/>
                <w:color w:val="000000"/>
                <w:sz w:val="24"/>
                <w:szCs w:val="24"/>
              </w:rPr>
            </w:pPr>
            <w:r w:rsidRPr="00903BCB">
              <w:rPr>
                <w:rFonts w:eastAsia="Calibri"/>
                <w:b/>
                <w:color w:val="000000"/>
                <w:sz w:val="24"/>
                <w:szCs w:val="24"/>
              </w:rPr>
              <w:t>TOTAL</w:t>
            </w:r>
          </w:p>
        </w:tc>
        <w:tc>
          <w:tcPr>
            <w:tcW w:w="2414" w:type="dxa"/>
            <w:shd w:val="clear" w:color="auto" w:fill="auto"/>
            <w:vAlign w:val="bottom"/>
          </w:tcPr>
          <w:p w14:paraId="4A9CD0F6" w14:textId="77777777" w:rsidR="00820481" w:rsidRPr="00903BCB" w:rsidRDefault="00820481" w:rsidP="002E641D">
            <w:pPr>
              <w:ind w:right="-40"/>
              <w:jc w:val="right"/>
              <w:rPr>
                <w:b/>
                <w:color w:val="000000"/>
                <w:sz w:val="24"/>
                <w:szCs w:val="24"/>
              </w:rPr>
            </w:pPr>
            <w:r w:rsidRPr="00903BCB">
              <w:rPr>
                <w:b/>
                <w:color w:val="000000"/>
                <w:sz w:val="24"/>
                <w:szCs w:val="24"/>
              </w:rPr>
              <w:t>580,728</w:t>
            </w:r>
          </w:p>
        </w:tc>
        <w:tc>
          <w:tcPr>
            <w:tcW w:w="2557" w:type="dxa"/>
          </w:tcPr>
          <w:p w14:paraId="7D0957B0" w14:textId="77777777" w:rsidR="00820481" w:rsidRPr="00903BCB" w:rsidRDefault="00820481" w:rsidP="00621801">
            <w:pPr>
              <w:ind w:right="0"/>
              <w:jc w:val="right"/>
              <w:rPr>
                <w:b/>
                <w:color w:val="000000"/>
                <w:sz w:val="24"/>
                <w:szCs w:val="24"/>
              </w:rPr>
            </w:pPr>
            <w:r w:rsidRPr="00903BCB">
              <w:rPr>
                <w:b/>
                <w:color w:val="000000"/>
                <w:sz w:val="24"/>
                <w:szCs w:val="24"/>
              </w:rPr>
              <w:t>446,535</w:t>
            </w:r>
          </w:p>
        </w:tc>
      </w:tr>
    </w:tbl>
    <w:p w14:paraId="49BD9695" w14:textId="77777777" w:rsidR="005749B7" w:rsidRPr="00903BCB" w:rsidRDefault="005749B7" w:rsidP="005749B7">
      <w:pPr>
        <w:tabs>
          <w:tab w:val="left" w:pos="2205"/>
        </w:tabs>
        <w:spacing w:line="360" w:lineRule="auto"/>
        <w:ind w:left="0" w:right="0"/>
        <w:rPr>
          <w:b/>
          <w:sz w:val="24"/>
          <w:szCs w:val="24"/>
        </w:rPr>
      </w:pPr>
    </w:p>
    <w:p w14:paraId="0946B3FD" w14:textId="0EAB7266" w:rsidR="00C05639" w:rsidRPr="00903BCB" w:rsidRDefault="00C05639" w:rsidP="00C05639">
      <w:pPr>
        <w:tabs>
          <w:tab w:val="left" w:pos="2205"/>
        </w:tabs>
        <w:spacing w:line="360" w:lineRule="auto"/>
        <w:ind w:left="0" w:right="0"/>
        <w:rPr>
          <w:noProof/>
          <w:sz w:val="24"/>
          <w:szCs w:val="24"/>
        </w:rPr>
      </w:pPr>
      <w:r w:rsidRPr="00903BCB">
        <w:rPr>
          <w:sz w:val="24"/>
          <w:szCs w:val="24"/>
        </w:rPr>
        <w:t>Third, the M-shape</w:t>
      </w:r>
      <w:r w:rsidR="004F4495" w:rsidRPr="00903BCB">
        <w:rPr>
          <w:sz w:val="24"/>
          <w:szCs w:val="24"/>
        </w:rPr>
        <w:t>d</w:t>
      </w:r>
      <w:r w:rsidRPr="00903BCB">
        <w:rPr>
          <w:sz w:val="24"/>
          <w:szCs w:val="24"/>
        </w:rPr>
        <w:t xml:space="preserve"> curve in Chart 2 suggests that there is a threshold-distance from Amman up to which transfers decreasingly follow any consistent combination of the five criteria selected, and beyond which some consistency is recovered. The “decreasing” component may be explained </w:t>
      </w:r>
      <w:r w:rsidR="00811465" w:rsidRPr="00903BCB">
        <w:rPr>
          <w:sz w:val="24"/>
          <w:szCs w:val="24"/>
        </w:rPr>
        <w:t xml:space="preserve">either </w:t>
      </w:r>
      <w:r w:rsidRPr="00903BCB">
        <w:rPr>
          <w:sz w:val="24"/>
          <w:szCs w:val="24"/>
        </w:rPr>
        <w:t>by the urban-bias effect</w:t>
      </w:r>
      <w:r w:rsidR="00331B1F" w:rsidRPr="00903BCB">
        <w:rPr>
          <w:sz w:val="24"/>
          <w:szCs w:val="24"/>
        </w:rPr>
        <w:t>,</w:t>
      </w:r>
      <w:r w:rsidRPr="00903BCB">
        <w:rPr>
          <w:sz w:val="24"/>
          <w:szCs w:val="24"/>
        </w:rPr>
        <w:t xml:space="preserve"> </w:t>
      </w:r>
      <w:r w:rsidR="00214790" w:rsidRPr="00903BCB">
        <w:rPr>
          <w:sz w:val="24"/>
          <w:szCs w:val="24"/>
        </w:rPr>
        <w:t>whereby</w:t>
      </w:r>
      <w:r w:rsidRPr="00903BCB">
        <w:rPr>
          <w:sz w:val="24"/>
          <w:szCs w:val="24"/>
        </w:rPr>
        <w:t xml:space="preserve"> the </w:t>
      </w:r>
      <w:r w:rsidR="00382DE6" w:rsidRPr="00903BCB">
        <w:rPr>
          <w:sz w:val="24"/>
          <w:szCs w:val="24"/>
        </w:rPr>
        <w:t xml:space="preserve">city of </w:t>
      </w:r>
      <w:r w:rsidRPr="00903BCB">
        <w:rPr>
          <w:sz w:val="24"/>
          <w:szCs w:val="24"/>
        </w:rPr>
        <w:t>Amman keeps a disproportional share of resources</w:t>
      </w:r>
      <w:r w:rsidR="00331B1F" w:rsidRPr="00903BCB">
        <w:rPr>
          <w:sz w:val="24"/>
          <w:szCs w:val="24"/>
        </w:rPr>
        <w:t>,</w:t>
      </w:r>
      <w:r w:rsidRPr="00903BCB">
        <w:rPr>
          <w:sz w:val="24"/>
          <w:szCs w:val="24"/>
        </w:rPr>
        <w:t xml:space="preserve"> or </w:t>
      </w:r>
      <w:r w:rsidR="00E056C1" w:rsidRPr="00903BCB">
        <w:rPr>
          <w:sz w:val="24"/>
          <w:szCs w:val="24"/>
        </w:rPr>
        <w:t xml:space="preserve">by </w:t>
      </w:r>
      <w:r w:rsidRPr="00903BCB">
        <w:rPr>
          <w:sz w:val="24"/>
          <w:szCs w:val="24"/>
        </w:rPr>
        <w:t>positive spillovers</w:t>
      </w:r>
      <w:r w:rsidR="00E056C1" w:rsidRPr="00903BCB">
        <w:rPr>
          <w:sz w:val="24"/>
          <w:szCs w:val="24"/>
        </w:rPr>
        <w:t xml:space="preserve"> </w:t>
      </w:r>
      <w:r w:rsidR="00811465" w:rsidRPr="00903BCB">
        <w:rPr>
          <w:sz w:val="24"/>
          <w:szCs w:val="24"/>
        </w:rPr>
        <w:t xml:space="preserve">in </w:t>
      </w:r>
      <w:r w:rsidR="008A267F" w:rsidRPr="00903BCB">
        <w:rPr>
          <w:sz w:val="24"/>
          <w:szCs w:val="24"/>
        </w:rPr>
        <w:t xml:space="preserve">public </w:t>
      </w:r>
      <w:r w:rsidR="00811465" w:rsidRPr="00903BCB">
        <w:rPr>
          <w:sz w:val="24"/>
          <w:szCs w:val="24"/>
        </w:rPr>
        <w:t xml:space="preserve">services delivery </w:t>
      </w:r>
      <w:r w:rsidR="00E056C1" w:rsidRPr="00903BCB">
        <w:rPr>
          <w:sz w:val="24"/>
          <w:szCs w:val="24"/>
        </w:rPr>
        <w:t>resulting from proximity to Amman</w:t>
      </w:r>
      <w:r w:rsidRPr="00903BCB">
        <w:rPr>
          <w:sz w:val="24"/>
          <w:szCs w:val="24"/>
        </w:rPr>
        <w:t>. The “increasing” component may be explained by</w:t>
      </w:r>
      <w:r w:rsidR="00753597" w:rsidRPr="00903BCB">
        <w:rPr>
          <w:sz w:val="24"/>
          <w:szCs w:val="24"/>
        </w:rPr>
        <w:t xml:space="preserve"> policies consistent</w:t>
      </w:r>
      <w:r w:rsidRPr="00903BCB">
        <w:rPr>
          <w:sz w:val="24"/>
          <w:szCs w:val="24"/>
        </w:rPr>
        <w:t xml:space="preserve"> </w:t>
      </w:r>
      <w:r w:rsidR="00753597" w:rsidRPr="00903BCB">
        <w:rPr>
          <w:sz w:val="24"/>
          <w:szCs w:val="24"/>
        </w:rPr>
        <w:t xml:space="preserve">with </w:t>
      </w:r>
      <w:r w:rsidRPr="00903BCB">
        <w:rPr>
          <w:sz w:val="24"/>
          <w:szCs w:val="24"/>
        </w:rPr>
        <w:t>the five criteri</w:t>
      </w:r>
      <w:r w:rsidR="00942671" w:rsidRPr="00903BCB">
        <w:rPr>
          <w:sz w:val="24"/>
          <w:szCs w:val="24"/>
        </w:rPr>
        <w:t xml:space="preserve">a considered to address </w:t>
      </w:r>
      <w:r w:rsidRPr="00903BCB">
        <w:rPr>
          <w:sz w:val="24"/>
          <w:szCs w:val="24"/>
        </w:rPr>
        <w:t>policy goals in remote regions (Irbid in the North and Aqaba and Ma’an in the South).</w:t>
      </w:r>
    </w:p>
    <w:p w14:paraId="7873ACED" w14:textId="77777777" w:rsidR="00481E81" w:rsidRPr="00903BCB" w:rsidRDefault="00481E81" w:rsidP="00481E81">
      <w:pPr>
        <w:tabs>
          <w:tab w:val="left" w:pos="2205"/>
        </w:tabs>
        <w:spacing w:line="360" w:lineRule="auto"/>
        <w:ind w:left="907" w:right="0"/>
        <w:rPr>
          <w:b/>
          <w:sz w:val="24"/>
          <w:szCs w:val="24"/>
        </w:rPr>
      </w:pPr>
    </w:p>
    <w:p w14:paraId="08BDECE6" w14:textId="77777777" w:rsidR="00405069" w:rsidRPr="00903BCB" w:rsidRDefault="00B32A14" w:rsidP="005C32AD">
      <w:pPr>
        <w:tabs>
          <w:tab w:val="left" w:pos="2205"/>
        </w:tabs>
        <w:spacing w:line="276" w:lineRule="auto"/>
        <w:ind w:left="900" w:right="0"/>
        <w:rPr>
          <w:sz w:val="24"/>
          <w:szCs w:val="24"/>
        </w:rPr>
      </w:pPr>
      <w:r w:rsidRPr="00903BCB">
        <w:rPr>
          <w:b/>
          <w:sz w:val="24"/>
          <w:szCs w:val="24"/>
        </w:rPr>
        <w:t>Chart 2:</w:t>
      </w:r>
      <w:r w:rsidR="003B5C83" w:rsidRPr="00903BCB">
        <w:rPr>
          <w:sz w:val="24"/>
          <w:szCs w:val="24"/>
        </w:rPr>
        <w:t xml:space="preserve"> </w:t>
      </w:r>
      <w:r w:rsidR="005C32AD" w:rsidRPr="00903BCB">
        <w:rPr>
          <w:sz w:val="24"/>
          <w:szCs w:val="24"/>
        </w:rPr>
        <w:t xml:space="preserve">Deviations </w:t>
      </w:r>
      <w:r w:rsidR="003B5C83" w:rsidRPr="00903BCB">
        <w:rPr>
          <w:sz w:val="24"/>
          <w:szCs w:val="24"/>
        </w:rPr>
        <w:t xml:space="preserve">- Actual </w:t>
      </w:r>
      <w:r w:rsidR="00560143" w:rsidRPr="00903BCB">
        <w:rPr>
          <w:sz w:val="24"/>
          <w:szCs w:val="24"/>
        </w:rPr>
        <w:t xml:space="preserve">vs. Calibrated </w:t>
      </w:r>
      <w:r w:rsidR="003B5C83" w:rsidRPr="00903BCB">
        <w:rPr>
          <w:sz w:val="24"/>
          <w:szCs w:val="24"/>
        </w:rPr>
        <w:t>Capital Transfers (2011)</w:t>
      </w:r>
    </w:p>
    <w:p w14:paraId="7935DD23" w14:textId="77777777" w:rsidR="00405069" w:rsidRPr="00903BCB" w:rsidRDefault="006137BF" w:rsidP="002E5576">
      <w:pPr>
        <w:tabs>
          <w:tab w:val="left" w:pos="2205"/>
        </w:tabs>
        <w:spacing w:line="276" w:lineRule="auto"/>
        <w:ind w:left="0" w:right="0"/>
        <w:rPr>
          <w:sz w:val="24"/>
          <w:szCs w:val="24"/>
        </w:rPr>
      </w:pPr>
      <w:r w:rsidRPr="00903BCB">
        <w:rPr>
          <w:noProof/>
          <w:sz w:val="24"/>
          <w:szCs w:val="24"/>
        </w:rPr>
        <w:drawing>
          <wp:anchor distT="0" distB="0" distL="114300" distR="114300" simplePos="0" relativeHeight="251665920" behindDoc="1" locked="0" layoutInCell="1" allowOverlap="1" wp14:anchorId="158225C3" wp14:editId="3CEF5C58">
            <wp:simplePos x="0" y="0"/>
            <wp:positionH relativeFrom="column">
              <wp:posOffset>561975</wp:posOffset>
            </wp:positionH>
            <wp:positionV relativeFrom="paragraph">
              <wp:posOffset>3810</wp:posOffset>
            </wp:positionV>
            <wp:extent cx="4669790" cy="2981325"/>
            <wp:effectExtent l="19050" t="0" r="0" b="0"/>
            <wp:wrapTight wrapText="bothSides">
              <wp:wrapPolygon edited="0">
                <wp:start x="-88" y="0"/>
                <wp:lineTo x="-88" y="21531"/>
                <wp:lineTo x="21588" y="21531"/>
                <wp:lineTo x="21588" y="0"/>
                <wp:lineTo x="-88"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4669790" cy="2981325"/>
                    </a:xfrm>
                    <a:prstGeom prst="rect">
                      <a:avLst/>
                    </a:prstGeom>
                    <a:noFill/>
                  </pic:spPr>
                </pic:pic>
              </a:graphicData>
            </a:graphic>
          </wp:anchor>
        </w:drawing>
      </w:r>
    </w:p>
    <w:p w14:paraId="227180A7" w14:textId="77777777" w:rsidR="00405069" w:rsidRPr="00903BCB" w:rsidRDefault="00405069" w:rsidP="002E5576">
      <w:pPr>
        <w:tabs>
          <w:tab w:val="left" w:pos="2205"/>
        </w:tabs>
        <w:spacing w:line="276" w:lineRule="auto"/>
        <w:ind w:left="0" w:right="0"/>
        <w:rPr>
          <w:sz w:val="24"/>
          <w:szCs w:val="24"/>
        </w:rPr>
      </w:pPr>
    </w:p>
    <w:p w14:paraId="776140BC" w14:textId="77777777" w:rsidR="00481E81" w:rsidRPr="00903BCB" w:rsidRDefault="00481E81" w:rsidP="002E5576">
      <w:pPr>
        <w:tabs>
          <w:tab w:val="left" w:pos="2205"/>
        </w:tabs>
        <w:spacing w:line="276" w:lineRule="auto"/>
        <w:ind w:left="0" w:right="0"/>
        <w:rPr>
          <w:sz w:val="24"/>
          <w:szCs w:val="24"/>
        </w:rPr>
      </w:pPr>
    </w:p>
    <w:p w14:paraId="68FD63BB" w14:textId="77777777" w:rsidR="00481E81" w:rsidRPr="00903BCB" w:rsidRDefault="00481E81" w:rsidP="002E5576">
      <w:pPr>
        <w:tabs>
          <w:tab w:val="left" w:pos="2205"/>
        </w:tabs>
        <w:spacing w:line="276" w:lineRule="auto"/>
        <w:ind w:left="0" w:right="0"/>
        <w:rPr>
          <w:sz w:val="24"/>
          <w:szCs w:val="24"/>
        </w:rPr>
      </w:pPr>
    </w:p>
    <w:p w14:paraId="5BE7EB74" w14:textId="77777777" w:rsidR="00481E81" w:rsidRPr="00903BCB" w:rsidRDefault="00481E81" w:rsidP="002E5576">
      <w:pPr>
        <w:tabs>
          <w:tab w:val="left" w:pos="2205"/>
        </w:tabs>
        <w:spacing w:line="276" w:lineRule="auto"/>
        <w:ind w:left="0" w:right="0"/>
        <w:rPr>
          <w:sz w:val="24"/>
          <w:szCs w:val="24"/>
        </w:rPr>
      </w:pPr>
    </w:p>
    <w:p w14:paraId="6B4097E8" w14:textId="77777777" w:rsidR="00481E81" w:rsidRPr="00903BCB" w:rsidRDefault="00481E81" w:rsidP="002E5576">
      <w:pPr>
        <w:tabs>
          <w:tab w:val="left" w:pos="2205"/>
        </w:tabs>
        <w:spacing w:line="276" w:lineRule="auto"/>
        <w:ind w:left="0" w:right="0"/>
        <w:rPr>
          <w:sz w:val="24"/>
          <w:szCs w:val="24"/>
        </w:rPr>
      </w:pPr>
    </w:p>
    <w:p w14:paraId="28108629" w14:textId="77777777" w:rsidR="00481E81" w:rsidRPr="00903BCB" w:rsidRDefault="00481E81" w:rsidP="002E5576">
      <w:pPr>
        <w:tabs>
          <w:tab w:val="left" w:pos="2205"/>
        </w:tabs>
        <w:spacing w:line="276" w:lineRule="auto"/>
        <w:ind w:left="0" w:right="0"/>
        <w:rPr>
          <w:sz w:val="24"/>
          <w:szCs w:val="24"/>
        </w:rPr>
      </w:pPr>
    </w:p>
    <w:p w14:paraId="1CF79582" w14:textId="77777777" w:rsidR="00481E81" w:rsidRPr="00903BCB" w:rsidRDefault="00481E81" w:rsidP="002E5576">
      <w:pPr>
        <w:tabs>
          <w:tab w:val="left" w:pos="2205"/>
        </w:tabs>
        <w:spacing w:line="276" w:lineRule="auto"/>
        <w:ind w:left="0" w:right="0"/>
        <w:rPr>
          <w:sz w:val="24"/>
          <w:szCs w:val="24"/>
        </w:rPr>
      </w:pPr>
    </w:p>
    <w:p w14:paraId="612F620F" w14:textId="77777777" w:rsidR="00481E81" w:rsidRPr="00903BCB" w:rsidRDefault="00481E81" w:rsidP="002E5576">
      <w:pPr>
        <w:tabs>
          <w:tab w:val="left" w:pos="2205"/>
        </w:tabs>
        <w:spacing w:line="276" w:lineRule="auto"/>
        <w:ind w:left="0" w:right="0"/>
        <w:rPr>
          <w:sz w:val="24"/>
          <w:szCs w:val="24"/>
        </w:rPr>
      </w:pPr>
    </w:p>
    <w:p w14:paraId="71D1BE60" w14:textId="77777777" w:rsidR="00481E81" w:rsidRPr="00903BCB" w:rsidRDefault="00481E81" w:rsidP="002E5576">
      <w:pPr>
        <w:tabs>
          <w:tab w:val="left" w:pos="2205"/>
        </w:tabs>
        <w:spacing w:line="276" w:lineRule="auto"/>
        <w:ind w:left="0" w:right="0"/>
        <w:rPr>
          <w:sz w:val="24"/>
          <w:szCs w:val="24"/>
        </w:rPr>
      </w:pPr>
    </w:p>
    <w:p w14:paraId="16815C6B" w14:textId="77777777" w:rsidR="00481E81" w:rsidRPr="00903BCB" w:rsidRDefault="00481E81" w:rsidP="002E5576">
      <w:pPr>
        <w:tabs>
          <w:tab w:val="left" w:pos="2205"/>
        </w:tabs>
        <w:spacing w:line="276" w:lineRule="auto"/>
        <w:ind w:left="0" w:right="0"/>
        <w:rPr>
          <w:sz w:val="24"/>
          <w:szCs w:val="24"/>
        </w:rPr>
      </w:pPr>
    </w:p>
    <w:p w14:paraId="7BC32BF1" w14:textId="77777777" w:rsidR="00481E81" w:rsidRPr="00903BCB" w:rsidRDefault="00481E81" w:rsidP="002E5576">
      <w:pPr>
        <w:tabs>
          <w:tab w:val="left" w:pos="2205"/>
        </w:tabs>
        <w:spacing w:line="276" w:lineRule="auto"/>
        <w:ind w:left="0" w:right="0"/>
        <w:rPr>
          <w:sz w:val="24"/>
          <w:szCs w:val="24"/>
        </w:rPr>
      </w:pPr>
    </w:p>
    <w:p w14:paraId="0979A9CD" w14:textId="77777777" w:rsidR="00481E81" w:rsidRPr="00903BCB" w:rsidRDefault="00481E81" w:rsidP="002E5576">
      <w:pPr>
        <w:tabs>
          <w:tab w:val="left" w:pos="2205"/>
        </w:tabs>
        <w:spacing w:line="276" w:lineRule="auto"/>
        <w:ind w:left="0" w:right="0"/>
        <w:rPr>
          <w:sz w:val="24"/>
          <w:szCs w:val="24"/>
        </w:rPr>
      </w:pPr>
    </w:p>
    <w:p w14:paraId="1B73CAA8" w14:textId="77777777" w:rsidR="00481E81" w:rsidRPr="00903BCB" w:rsidRDefault="00481E81" w:rsidP="002E5576">
      <w:pPr>
        <w:tabs>
          <w:tab w:val="left" w:pos="2205"/>
        </w:tabs>
        <w:spacing w:line="276" w:lineRule="auto"/>
        <w:ind w:left="0" w:right="0"/>
        <w:rPr>
          <w:sz w:val="24"/>
          <w:szCs w:val="24"/>
        </w:rPr>
      </w:pPr>
    </w:p>
    <w:p w14:paraId="785B90E4" w14:textId="77777777" w:rsidR="00F25273" w:rsidRDefault="00F25273" w:rsidP="00634175">
      <w:pPr>
        <w:tabs>
          <w:tab w:val="left" w:pos="2205"/>
        </w:tabs>
        <w:spacing w:line="276" w:lineRule="auto"/>
        <w:ind w:left="900" w:right="0"/>
        <w:rPr>
          <w:b/>
          <w:sz w:val="24"/>
          <w:szCs w:val="24"/>
        </w:rPr>
      </w:pPr>
    </w:p>
    <w:p w14:paraId="443256D0" w14:textId="77777777" w:rsidR="00634175" w:rsidRPr="00903BCB" w:rsidRDefault="00481E81" w:rsidP="00634175">
      <w:pPr>
        <w:tabs>
          <w:tab w:val="left" w:pos="2205"/>
        </w:tabs>
        <w:spacing w:line="276" w:lineRule="auto"/>
        <w:ind w:left="900" w:right="0"/>
        <w:rPr>
          <w:sz w:val="24"/>
          <w:szCs w:val="24"/>
        </w:rPr>
      </w:pPr>
      <w:r w:rsidRPr="00903BCB">
        <w:rPr>
          <w:b/>
          <w:sz w:val="24"/>
          <w:szCs w:val="24"/>
        </w:rPr>
        <w:t>Note</w:t>
      </w:r>
      <w:r w:rsidRPr="00903BCB">
        <w:rPr>
          <w:sz w:val="24"/>
          <w:szCs w:val="24"/>
        </w:rPr>
        <w:t>: X-axis represent</w:t>
      </w:r>
      <w:r w:rsidR="00634175" w:rsidRPr="00903BCB">
        <w:rPr>
          <w:sz w:val="24"/>
          <w:szCs w:val="24"/>
        </w:rPr>
        <w:t>s</w:t>
      </w:r>
      <w:r w:rsidRPr="00903BCB">
        <w:rPr>
          <w:sz w:val="24"/>
          <w:szCs w:val="24"/>
        </w:rPr>
        <w:t xml:space="preserve"> relative distances from Amman</w:t>
      </w:r>
      <w:r w:rsidR="00634175" w:rsidRPr="00903BCB">
        <w:rPr>
          <w:sz w:val="24"/>
          <w:szCs w:val="24"/>
        </w:rPr>
        <w:t xml:space="preserve"> (Irbid is the most </w:t>
      </w:r>
    </w:p>
    <w:p w14:paraId="5A3943DA" w14:textId="77777777" w:rsidR="00481E81" w:rsidRPr="00903BCB" w:rsidRDefault="00634175" w:rsidP="00634175">
      <w:pPr>
        <w:tabs>
          <w:tab w:val="left" w:pos="2205"/>
        </w:tabs>
        <w:spacing w:line="276" w:lineRule="auto"/>
        <w:ind w:left="900" w:right="0"/>
        <w:rPr>
          <w:sz w:val="24"/>
          <w:szCs w:val="24"/>
        </w:rPr>
      </w:pPr>
      <w:r w:rsidRPr="00903BCB">
        <w:rPr>
          <w:sz w:val="24"/>
          <w:szCs w:val="24"/>
        </w:rPr>
        <w:t>Northern and Aqaba the most southern governorate).</w:t>
      </w:r>
    </w:p>
    <w:p w14:paraId="61ECD750" w14:textId="77777777" w:rsidR="008067C2" w:rsidRPr="00903BCB" w:rsidRDefault="008067C2" w:rsidP="00153EF9">
      <w:pPr>
        <w:tabs>
          <w:tab w:val="left" w:pos="1050"/>
        </w:tabs>
        <w:spacing w:line="360" w:lineRule="auto"/>
        <w:ind w:left="0" w:right="0"/>
        <w:rPr>
          <w:sz w:val="24"/>
          <w:szCs w:val="24"/>
        </w:rPr>
      </w:pPr>
    </w:p>
    <w:p w14:paraId="3B68775C" w14:textId="77777777" w:rsidR="00F25273" w:rsidRDefault="00F25273" w:rsidP="00153EF9">
      <w:pPr>
        <w:tabs>
          <w:tab w:val="left" w:pos="1050"/>
        </w:tabs>
        <w:spacing w:line="360" w:lineRule="auto"/>
        <w:ind w:left="0" w:right="0"/>
        <w:rPr>
          <w:noProof/>
          <w:sz w:val="24"/>
          <w:szCs w:val="24"/>
        </w:rPr>
      </w:pPr>
    </w:p>
    <w:p w14:paraId="31B7D259" w14:textId="77777777" w:rsidR="00F25273" w:rsidRDefault="00F25273" w:rsidP="00153EF9">
      <w:pPr>
        <w:tabs>
          <w:tab w:val="left" w:pos="1050"/>
        </w:tabs>
        <w:spacing w:line="360" w:lineRule="auto"/>
        <w:ind w:left="0" w:right="0"/>
        <w:rPr>
          <w:noProof/>
          <w:sz w:val="24"/>
          <w:szCs w:val="24"/>
        </w:rPr>
      </w:pPr>
    </w:p>
    <w:p w14:paraId="740D7692" w14:textId="77777777" w:rsidR="00F25273" w:rsidRDefault="00F25273" w:rsidP="00153EF9">
      <w:pPr>
        <w:tabs>
          <w:tab w:val="left" w:pos="1050"/>
        </w:tabs>
        <w:spacing w:line="360" w:lineRule="auto"/>
        <w:ind w:left="0" w:right="0"/>
        <w:rPr>
          <w:noProof/>
          <w:sz w:val="24"/>
          <w:szCs w:val="24"/>
        </w:rPr>
      </w:pPr>
    </w:p>
    <w:p w14:paraId="438AC1DD" w14:textId="77777777" w:rsidR="00F25273" w:rsidRDefault="00F25273" w:rsidP="00153EF9">
      <w:pPr>
        <w:tabs>
          <w:tab w:val="left" w:pos="1050"/>
        </w:tabs>
        <w:spacing w:line="360" w:lineRule="auto"/>
        <w:ind w:left="0" w:right="0"/>
        <w:rPr>
          <w:noProof/>
          <w:sz w:val="24"/>
          <w:szCs w:val="24"/>
        </w:rPr>
      </w:pPr>
    </w:p>
    <w:p w14:paraId="3D3C1AD2" w14:textId="77777777" w:rsidR="00F25273" w:rsidRDefault="00F25273" w:rsidP="00153EF9">
      <w:pPr>
        <w:tabs>
          <w:tab w:val="left" w:pos="1050"/>
        </w:tabs>
        <w:spacing w:line="360" w:lineRule="auto"/>
        <w:ind w:left="0" w:right="0"/>
        <w:rPr>
          <w:noProof/>
          <w:sz w:val="24"/>
          <w:szCs w:val="24"/>
        </w:rPr>
      </w:pPr>
    </w:p>
    <w:p w14:paraId="45DDB478" w14:textId="77777777" w:rsidR="00F25273" w:rsidRDefault="00F25273" w:rsidP="00153EF9">
      <w:pPr>
        <w:tabs>
          <w:tab w:val="left" w:pos="1050"/>
        </w:tabs>
        <w:spacing w:line="360" w:lineRule="auto"/>
        <w:ind w:left="0" w:right="0"/>
        <w:rPr>
          <w:noProof/>
          <w:sz w:val="24"/>
          <w:szCs w:val="24"/>
        </w:rPr>
      </w:pPr>
    </w:p>
    <w:p w14:paraId="656132B0" w14:textId="77777777" w:rsidR="00F25273" w:rsidRDefault="00F25273" w:rsidP="00153EF9">
      <w:pPr>
        <w:tabs>
          <w:tab w:val="left" w:pos="1050"/>
        </w:tabs>
        <w:spacing w:line="360" w:lineRule="auto"/>
        <w:ind w:left="0" w:right="0"/>
        <w:rPr>
          <w:noProof/>
          <w:sz w:val="24"/>
          <w:szCs w:val="24"/>
        </w:rPr>
      </w:pPr>
    </w:p>
    <w:p w14:paraId="560CFF16" w14:textId="2FDBE762" w:rsidR="00C40D60" w:rsidRPr="00903BCB" w:rsidRDefault="00F25273" w:rsidP="00F25273">
      <w:pPr>
        <w:tabs>
          <w:tab w:val="left" w:pos="1050"/>
        </w:tabs>
        <w:ind w:left="0" w:right="0"/>
        <w:rPr>
          <w:sz w:val="24"/>
          <w:szCs w:val="24"/>
        </w:rPr>
      </w:pPr>
      <w:r w:rsidRPr="00903BCB">
        <w:rPr>
          <w:noProof/>
          <w:sz w:val="24"/>
          <w:szCs w:val="24"/>
        </w:rPr>
        <mc:AlternateContent>
          <mc:Choice Requires="wps">
            <w:drawing>
              <wp:anchor distT="0" distB="0" distL="114300" distR="114300" simplePos="0" relativeHeight="251655680" behindDoc="0" locked="0" layoutInCell="1" allowOverlap="1" wp14:anchorId="7F8FE649" wp14:editId="49677FF6">
                <wp:simplePos x="0" y="0"/>
                <wp:positionH relativeFrom="column">
                  <wp:posOffset>3252258</wp:posOffset>
                </wp:positionH>
                <wp:positionV relativeFrom="paragraph">
                  <wp:posOffset>743585</wp:posOffset>
                </wp:positionV>
                <wp:extent cx="560705" cy="21526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82B90" w14:textId="77777777" w:rsidR="00F25273" w:rsidRPr="009C66A8" w:rsidRDefault="00F25273" w:rsidP="00310CD6">
                            <w:pPr>
                              <w:ind w:left="0"/>
                              <w:rPr>
                                <w:rFonts w:ascii="Calibri" w:hAnsi="Calibri" w:cs="Calibri"/>
                                <w:sz w:val="16"/>
                                <w:szCs w:val="16"/>
                              </w:rPr>
                            </w:pPr>
                            <w:r w:rsidRPr="009C66A8">
                              <w:rPr>
                                <w:rFonts w:ascii="Calibri" w:hAnsi="Calibri" w:cs="Calibri"/>
                                <w:sz w:val="16"/>
                                <w:szCs w:val="16"/>
                              </w:rPr>
                              <w:t>Amman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256.1pt;margin-top:58.55pt;width:44.15pt;height:16.9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" stroked="f">
                <v:fill opacity="0"/>
                <v:textbox style="mso-fit-shape-to-text:t">
                  <w:txbxContent>
                    <w:p w14:paraId="1F182B90" w14:textId="77777777" w:rsidR="00F25273" w:rsidRPr="009C66A8" w:rsidRDefault="00F25273" w:rsidP="00310CD6">
                      <w:pPr>
                        <w:ind w:left="0"/>
                        <w:rPr>
                          <w:rFonts w:ascii="Calibri" w:hAnsi="Calibri" w:cs="Calibri"/>
                          <w:sz w:val="16"/>
                          <w:szCs w:val="16"/>
                        </w:rPr>
                      </w:pPr>
                      <w:r w:rsidRPr="009C66A8">
                        <w:rPr>
                          <w:rFonts w:ascii="Calibri" w:hAnsi="Calibri" w:cs="Calibri"/>
                          <w:sz w:val="16"/>
                          <w:szCs w:val="16"/>
                        </w:rPr>
                        <w:t>Amman</w:t>
                      </w:r>
                    </w:p>
                  </w:txbxContent>
                </v:textbox>
              </v:shape>
            </w:pict>
          </mc:Fallback>
        </mc:AlternateContent>
      </w:r>
      <w:r w:rsidRPr="00903BCB">
        <w:rPr>
          <w:noProof/>
          <w:sz w:val="24"/>
          <w:szCs w:val="24"/>
        </w:rPr>
        <mc:AlternateContent>
          <mc:Choice Requires="wps">
            <w:drawing>
              <wp:anchor distT="0" distB="0" distL="114300" distR="114300" simplePos="0" relativeHeight="251653632" behindDoc="0" locked="0" layoutInCell="1" allowOverlap="1" wp14:anchorId="12A4438D" wp14:editId="06D5CBC7">
                <wp:simplePos x="0" y="0"/>
                <wp:positionH relativeFrom="column">
                  <wp:posOffset>1748155</wp:posOffset>
                </wp:positionH>
                <wp:positionV relativeFrom="paragraph">
                  <wp:posOffset>1634067</wp:posOffset>
                </wp:positionV>
                <wp:extent cx="560705" cy="21526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2D800" w14:textId="77777777" w:rsidR="00F25273" w:rsidRPr="009C66A8" w:rsidRDefault="00F25273" w:rsidP="00E96330">
                            <w:pPr>
                              <w:ind w:left="0"/>
                              <w:rPr>
                                <w:rFonts w:ascii="Calibri" w:hAnsi="Calibri" w:cs="Calibri"/>
                                <w:sz w:val="16"/>
                                <w:szCs w:val="16"/>
                              </w:rPr>
                            </w:pPr>
                            <w:r>
                              <w:rPr>
                                <w:rFonts w:ascii="Calibri" w:hAnsi="Calibri" w:cs="Calibri"/>
                                <w:sz w:val="16"/>
                                <w:szCs w:val="16"/>
                              </w:rPr>
                              <w:t>Mafraq</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7" type="#_x0000_t202" style="position:absolute;left:0;text-align:left;margin-left:137.65pt;margin-top:128.65pt;width:44.15pt;height:16.9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" stroked="f">
                <v:fill opacity="0"/>
                <v:textbox style="mso-fit-shape-to-text:t">
                  <w:txbxContent>
                    <w:p w14:paraId="0E62D800" w14:textId="77777777" w:rsidR="00F25273" w:rsidRPr="009C66A8" w:rsidRDefault="00F25273" w:rsidP="00E96330">
                      <w:pPr>
                        <w:ind w:left="0"/>
                        <w:rPr>
                          <w:rFonts w:ascii="Calibri" w:hAnsi="Calibri" w:cs="Calibri"/>
                          <w:sz w:val="16"/>
                          <w:szCs w:val="16"/>
                        </w:rPr>
                      </w:pPr>
                      <w:r>
                        <w:rPr>
                          <w:rFonts w:ascii="Calibri" w:hAnsi="Calibri" w:cs="Calibri"/>
                          <w:sz w:val="16"/>
                          <w:szCs w:val="16"/>
                        </w:rPr>
                        <w:t>Mafraq</w:t>
                      </w:r>
                    </w:p>
                  </w:txbxContent>
                </v:textbox>
              </v:shape>
            </w:pict>
          </mc:Fallback>
        </mc:AlternateContent>
      </w:r>
      <w:r w:rsidRPr="00903BCB">
        <w:rPr>
          <w:noProof/>
          <w:sz w:val="24"/>
          <w:szCs w:val="24"/>
        </w:rPr>
        <mc:AlternateContent>
          <mc:Choice Requires="wps">
            <w:drawing>
              <wp:anchor distT="0" distB="0" distL="114300" distR="114300" simplePos="0" relativeHeight="251652608" behindDoc="0" locked="0" layoutInCell="1" allowOverlap="1" wp14:anchorId="45B65FC7" wp14:editId="4FD8C131">
                <wp:simplePos x="0" y="0"/>
                <wp:positionH relativeFrom="column">
                  <wp:posOffset>237067</wp:posOffset>
                </wp:positionH>
                <wp:positionV relativeFrom="paragraph">
                  <wp:posOffset>750993</wp:posOffset>
                </wp:positionV>
                <wp:extent cx="560705" cy="21526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0D1AC" w14:textId="77777777" w:rsidR="00F25273" w:rsidRPr="009C66A8" w:rsidRDefault="00F25273" w:rsidP="009C66A8">
                            <w:pPr>
                              <w:ind w:left="0"/>
                              <w:rPr>
                                <w:rFonts w:ascii="Calibri" w:hAnsi="Calibri" w:cs="Calibri"/>
                                <w:sz w:val="16"/>
                                <w:szCs w:val="16"/>
                              </w:rPr>
                            </w:pPr>
                            <w:r w:rsidRPr="009C66A8">
                              <w:rPr>
                                <w:rFonts w:ascii="Calibri" w:hAnsi="Calibri" w:cs="Calibri"/>
                                <w:sz w:val="16"/>
                                <w:szCs w:val="16"/>
                              </w:rPr>
                              <w:t>Amman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8.65pt;margin-top:59.15pt;width:44.15pt;height:16.9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" stroked="f">
                <v:fill opacity="0"/>
                <v:textbox style="mso-fit-shape-to-text:t">
                  <w:txbxContent>
                    <w:p w14:paraId="16E0D1AC" w14:textId="77777777" w:rsidR="00F25273" w:rsidRPr="009C66A8" w:rsidRDefault="00F25273" w:rsidP="009C66A8">
                      <w:pPr>
                        <w:ind w:left="0"/>
                        <w:rPr>
                          <w:rFonts w:ascii="Calibri" w:hAnsi="Calibri" w:cs="Calibri"/>
                          <w:sz w:val="16"/>
                          <w:szCs w:val="16"/>
                        </w:rPr>
                      </w:pPr>
                      <w:r w:rsidRPr="009C66A8">
                        <w:rPr>
                          <w:rFonts w:ascii="Calibri" w:hAnsi="Calibri" w:cs="Calibri"/>
                          <w:sz w:val="16"/>
                          <w:szCs w:val="16"/>
                        </w:rPr>
                        <w:t>Amman</w:t>
                      </w:r>
                    </w:p>
                  </w:txbxContent>
                </v:textbox>
              </v:shape>
            </w:pict>
          </mc:Fallback>
        </mc:AlternateContent>
      </w:r>
      <w:r w:rsidRPr="00903BCB">
        <w:rPr>
          <w:noProof/>
          <w:sz w:val="24"/>
          <w:szCs w:val="24"/>
        </w:rPr>
        <w:t>Chart 3:</w:t>
      </w:r>
      <w:r w:rsidRPr="00903BCB">
        <w:rPr>
          <w:sz w:val="24"/>
          <w:szCs w:val="24"/>
        </w:rPr>
        <w:t xml:space="preserve"> Transfers vs. Poverty rate</w:t>
      </w:r>
      <w:r w:rsidRPr="00903BCB">
        <w:rPr>
          <w:sz w:val="24"/>
          <w:szCs w:val="24"/>
        </w:rPr>
        <w:tab/>
      </w:r>
      <w:r w:rsidRPr="00903BCB">
        <w:rPr>
          <w:sz w:val="24"/>
          <w:szCs w:val="24"/>
        </w:rPr>
        <w:tab/>
      </w:r>
      <w:r w:rsidRPr="00903BCB">
        <w:rPr>
          <w:sz w:val="24"/>
          <w:szCs w:val="24"/>
        </w:rPr>
        <w:tab/>
        <w:t>Chart 4: Transfers vs. Unemployment rate</w:t>
      </w:r>
    </w:p>
    <w:p w14:paraId="4BA2E5D4" w14:textId="67AB5EE5" w:rsidR="00C40D60" w:rsidRPr="00903BCB" w:rsidRDefault="00F25273" w:rsidP="00C40D60">
      <w:pPr>
        <w:ind w:left="0" w:right="0" w:firstLine="540"/>
        <w:jc w:val="left"/>
        <w:rPr>
          <w:sz w:val="24"/>
          <w:szCs w:val="24"/>
        </w:rPr>
      </w:pPr>
      <w:r w:rsidRPr="00903BCB">
        <w:rPr>
          <w:noProof/>
          <w:sz w:val="24"/>
          <w:szCs w:val="24"/>
        </w:rPr>
        <mc:AlternateContent>
          <mc:Choice Requires="wps">
            <w:drawing>
              <wp:anchor distT="0" distB="0" distL="114300" distR="114300" simplePos="0" relativeHeight="251654656" behindDoc="0" locked="0" layoutInCell="1" allowOverlap="1" wp14:anchorId="284CFA34" wp14:editId="6D942D07">
                <wp:simplePos x="0" y="0"/>
                <wp:positionH relativeFrom="column">
                  <wp:posOffset>4863888</wp:posOffset>
                </wp:positionH>
                <wp:positionV relativeFrom="paragraph">
                  <wp:posOffset>-896620</wp:posOffset>
                </wp:positionV>
                <wp:extent cx="560705" cy="2152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9A650" w14:textId="77777777" w:rsidR="00F25273" w:rsidRPr="004559D0" w:rsidRDefault="00F25273" w:rsidP="004559D0">
                            <w:pPr>
                              <w:ind w:left="0"/>
                              <w:rPr>
                                <w:rFonts w:ascii="Calibri" w:hAnsi="Calibri" w:cs="Calibri"/>
                                <w:sz w:val="16"/>
                                <w:szCs w:val="16"/>
                              </w:rPr>
                            </w:pPr>
                            <w:r w:rsidRPr="004559D0">
                              <w:rPr>
                                <w:rFonts w:ascii="Calibri" w:hAnsi="Calibri" w:cs="Calibri"/>
                                <w:sz w:val="16"/>
                                <w:szCs w:val="16"/>
                              </w:rPr>
                              <w:t>Ma</w:t>
                            </w:r>
                            <w:r>
                              <w:rPr>
                                <w:rFonts w:ascii="Calibri" w:hAnsi="Calibri" w:cs="Calibri"/>
                                <w:sz w:val="16"/>
                                <w:szCs w:val="16"/>
                              </w:rPr>
                              <w:t>’</w:t>
                            </w:r>
                            <w:r w:rsidRPr="004559D0">
                              <w:rPr>
                                <w:rFonts w:ascii="Calibri" w:hAnsi="Calibri" w:cs="Calibri"/>
                                <w:sz w:val="16"/>
                                <w:szCs w:val="16"/>
                              </w:rPr>
                              <w:t>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9" type="#_x0000_t202" style="position:absolute;left:0;text-align:left;margin-left:383pt;margin-top:-70.55pt;width:44.15pt;height:16.9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" stroked="f">
                <v:fill opacity="0"/>
                <v:textbox style="mso-fit-shape-to-text:t">
                  <w:txbxContent>
                    <w:p w14:paraId="3D39A650" w14:textId="77777777" w:rsidR="00F25273" w:rsidRPr="004559D0" w:rsidRDefault="00F25273" w:rsidP="004559D0">
                      <w:pPr>
                        <w:ind w:left="0"/>
                        <w:rPr>
                          <w:rFonts w:ascii="Calibri" w:hAnsi="Calibri" w:cs="Calibri"/>
                          <w:sz w:val="16"/>
                          <w:szCs w:val="16"/>
                        </w:rPr>
                      </w:pPr>
                      <w:r w:rsidRPr="004559D0">
                        <w:rPr>
                          <w:rFonts w:ascii="Calibri" w:hAnsi="Calibri" w:cs="Calibri"/>
                          <w:sz w:val="16"/>
                          <w:szCs w:val="16"/>
                        </w:rPr>
                        <w:t>Ma</w:t>
                      </w:r>
                      <w:r>
                        <w:rPr>
                          <w:rFonts w:ascii="Calibri" w:hAnsi="Calibri" w:cs="Calibri"/>
                          <w:sz w:val="16"/>
                          <w:szCs w:val="16"/>
                        </w:rPr>
                        <w:t>’</w:t>
                      </w:r>
                      <w:r w:rsidRPr="004559D0">
                        <w:rPr>
                          <w:rFonts w:ascii="Calibri" w:hAnsi="Calibri" w:cs="Calibri"/>
                          <w:sz w:val="16"/>
                          <w:szCs w:val="16"/>
                        </w:rPr>
                        <w:t>an</w:t>
                      </w:r>
                    </w:p>
                  </w:txbxContent>
                </v:textbox>
              </v:shape>
            </w:pict>
          </mc:Fallback>
        </mc:AlternateContent>
      </w:r>
      <w:r w:rsidR="006137BF" w:rsidRPr="00903BCB">
        <w:rPr>
          <w:noProof/>
          <w:sz w:val="24"/>
          <w:szCs w:val="24"/>
        </w:rPr>
        <w:drawing>
          <wp:anchor distT="0" distB="0" distL="114300" distR="114300" simplePos="0" relativeHeight="251666944" behindDoc="1" locked="0" layoutInCell="1" allowOverlap="1" wp14:anchorId="60597AB6" wp14:editId="34646DA7">
            <wp:simplePos x="0" y="0"/>
            <wp:positionH relativeFrom="column">
              <wp:posOffset>-149860</wp:posOffset>
            </wp:positionH>
            <wp:positionV relativeFrom="paragraph">
              <wp:posOffset>172085</wp:posOffset>
            </wp:positionV>
            <wp:extent cx="3133725" cy="2505075"/>
            <wp:effectExtent l="19050" t="0" r="9525" b="0"/>
            <wp:wrapThrough wrapText="bothSides">
              <wp:wrapPolygon edited="0">
                <wp:start x="-131" y="0"/>
                <wp:lineTo x="-131" y="21518"/>
                <wp:lineTo x="21666" y="21518"/>
                <wp:lineTo x="21666" y="0"/>
                <wp:lineTo x="-131"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srcRect/>
                    <a:stretch>
                      <a:fillRect/>
                    </a:stretch>
                  </pic:blipFill>
                  <pic:spPr bwMode="auto">
                    <a:xfrm>
                      <a:off x="0" y="0"/>
                      <a:ext cx="3133725" cy="2505075"/>
                    </a:xfrm>
                    <a:prstGeom prst="rect">
                      <a:avLst/>
                    </a:prstGeom>
                    <a:noFill/>
                    <a:ln w="9525">
                      <a:noFill/>
                      <a:miter lim="800000"/>
                      <a:headEnd/>
                      <a:tailEnd/>
                    </a:ln>
                  </pic:spPr>
                </pic:pic>
              </a:graphicData>
            </a:graphic>
          </wp:anchor>
        </w:drawing>
      </w:r>
      <w:r w:rsidR="006137BF" w:rsidRPr="00903BCB">
        <w:rPr>
          <w:noProof/>
          <w:sz w:val="24"/>
          <w:szCs w:val="24"/>
        </w:rPr>
        <w:drawing>
          <wp:anchor distT="0" distB="0" distL="114300" distR="114300" simplePos="0" relativeHeight="251651584" behindDoc="1" locked="0" layoutInCell="1" allowOverlap="1" wp14:anchorId="7E613B18" wp14:editId="7324F3C3">
            <wp:simplePos x="0" y="0"/>
            <wp:positionH relativeFrom="column">
              <wp:posOffset>2981325</wp:posOffset>
            </wp:positionH>
            <wp:positionV relativeFrom="paragraph">
              <wp:posOffset>161290</wp:posOffset>
            </wp:positionV>
            <wp:extent cx="3133725" cy="2505075"/>
            <wp:effectExtent l="19050" t="0" r="9525" b="0"/>
            <wp:wrapTight wrapText="bothSides">
              <wp:wrapPolygon edited="0">
                <wp:start x="-131" y="0"/>
                <wp:lineTo x="-131" y="21518"/>
                <wp:lineTo x="21666" y="21518"/>
                <wp:lineTo x="21666" y="0"/>
                <wp:lineTo x="-13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133725" cy="2505075"/>
                    </a:xfrm>
                    <a:prstGeom prst="rect">
                      <a:avLst/>
                    </a:prstGeom>
                    <a:noFill/>
                    <a:ln w="9525">
                      <a:noFill/>
                      <a:miter lim="800000"/>
                      <a:headEnd/>
                      <a:tailEnd/>
                    </a:ln>
                  </pic:spPr>
                </pic:pic>
              </a:graphicData>
            </a:graphic>
          </wp:anchor>
        </w:drawing>
      </w:r>
    </w:p>
    <w:p w14:paraId="4357D300" w14:textId="59A2B307" w:rsidR="00C40D60" w:rsidRPr="00903BCB" w:rsidRDefault="00C40D60" w:rsidP="00C40D60">
      <w:pPr>
        <w:spacing w:line="360" w:lineRule="auto"/>
        <w:ind w:left="0" w:right="0"/>
        <w:rPr>
          <w:sz w:val="24"/>
          <w:szCs w:val="24"/>
        </w:rPr>
      </w:pPr>
      <w:r w:rsidRPr="00903BCB">
        <w:rPr>
          <w:sz w:val="24"/>
          <w:szCs w:val="24"/>
        </w:rPr>
        <w:t xml:space="preserve">One reason why M1 </w:t>
      </w:r>
      <w:r w:rsidR="00382DE6" w:rsidRPr="00903BCB">
        <w:rPr>
          <w:sz w:val="24"/>
          <w:szCs w:val="24"/>
        </w:rPr>
        <w:t xml:space="preserve">is </w:t>
      </w:r>
      <w:r w:rsidRPr="00903BCB">
        <w:rPr>
          <w:sz w:val="24"/>
          <w:szCs w:val="24"/>
        </w:rPr>
        <w:t>not able to allocate one</w:t>
      </w:r>
      <w:r w:rsidR="004F4495" w:rsidRPr="00903BCB">
        <w:rPr>
          <w:sz w:val="24"/>
          <w:szCs w:val="24"/>
        </w:rPr>
        <w:t>-</w:t>
      </w:r>
      <w:r w:rsidRPr="00903BCB">
        <w:rPr>
          <w:sz w:val="24"/>
          <w:szCs w:val="24"/>
        </w:rPr>
        <w:t>quarter of all transfers actually occurred may be because, paradoxically, transfers in 2011 correlated negatively with the rate of poverty and the rate of unemployment (see Charts 3 and 4).</w:t>
      </w:r>
      <w:r w:rsidRPr="00903BCB">
        <w:rPr>
          <w:rStyle w:val="FootnoteReference"/>
          <w:sz w:val="24"/>
          <w:szCs w:val="24"/>
        </w:rPr>
        <w:footnoteReference w:id="14"/>
      </w:r>
    </w:p>
    <w:p w14:paraId="1B4690CD" w14:textId="77777777" w:rsidR="00C40D60" w:rsidRPr="00903BCB" w:rsidRDefault="00C40D60" w:rsidP="00C40D60">
      <w:pPr>
        <w:spacing w:line="360" w:lineRule="auto"/>
        <w:ind w:left="0" w:right="0"/>
        <w:rPr>
          <w:sz w:val="24"/>
          <w:szCs w:val="24"/>
        </w:rPr>
      </w:pPr>
    </w:p>
    <w:p w14:paraId="614D8B64" w14:textId="3946808B" w:rsidR="00320628" w:rsidRPr="00903BCB" w:rsidRDefault="005F755E" w:rsidP="00D535D7">
      <w:pPr>
        <w:spacing w:line="360" w:lineRule="auto"/>
        <w:ind w:left="0" w:right="0"/>
        <w:rPr>
          <w:sz w:val="24"/>
          <w:szCs w:val="24"/>
        </w:rPr>
      </w:pPr>
      <w:r w:rsidRPr="00903BCB">
        <w:rPr>
          <w:sz w:val="24"/>
          <w:szCs w:val="24"/>
        </w:rPr>
        <w:t xml:space="preserve">The quadratic fitting curves in </w:t>
      </w:r>
      <w:r w:rsidR="00163856" w:rsidRPr="00903BCB">
        <w:rPr>
          <w:sz w:val="24"/>
          <w:szCs w:val="24"/>
        </w:rPr>
        <w:t>Charts 3 and 4</w:t>
      </w:r>
      <w:r w:rsidRPr="00903BCB">
        <w:rPr>
          <w:sz w:val="24"/>
          <w:szCs w:val="24"/>
        </w:rPr>
        <w:t xml:space="preserve"> illustrate</w:t>
      </w:r>
      <w:r w:rsidR="00163856" w:rsidRPr="00903BCB">
        <w:rPr>
          <w:sz w:val="24"/>
          <w:szCs w:val="24"/>
        </w:rPr>
        <w:t xml:space="preserve"> </w:t>
      </w:r>
      <w:r w:rsidR="00382DE6" w:rsidRPr="00903BCB">
        <w:rPr>
          <w:sz w:val="24"/>
          <w:szCs w:val="24"/>
        </w:rPr>
        <w:t xml:space="preserve">in </w:t>
      </w:r>
      <w:r w:rsidR="00163856" w:rsidRPr="00903BCB">
        <w:rPr>
          <w:sz w:val="24"/>
          <w:szCs w:val="24"/>
        </w:rPr>
        <w:t>more detail the explanation</w:t>
      </w:r>
      <w:r w:rsidRPr="00903BCB">
        <w:rPr>
          <w:sz w:val="24"/>
          <w:szCs w:val="24"/>
        </w:rPr>
        <w:t xml:space="preserve"> for the M-shape curve introduced</w:t>
      </w:r>
      <w:r w:rsidR="00163856" w:rsidRPr="00903BCB">
        <w:rPr>
          <w:sz w:val="24"/>
          <w:szCs w:val="24"/>
        </w:rPr>
        <w:t xml:space="preserve"> above. The </w:t>
      </w:r>
      <w:r w:rsidR="009C66A8" w:rsidRPr="00903BCB">
        <w:rPr>
          <w:sz w:val="24"/>
          <w:szCs w:val="24"/>
        </w:rPr>
        <w:t xml:space="preserve">negative slope side of </w:t>
      </w:r>
      <w:r w:rsidR="00273F72" w:rsidRPr="00903BCB">
        <w:rPr>
          <w:sz w:val="24"/>
          <w:szCs w:val="24"/>
        </w:rPr>
        <w:t>th</w:t>
      </w:r>
      <w:r w:rsidR="009C66A8" w:rsidRPr="00903BCB">
        <w:rPr>
          <w:sz w:val="24"/>
          <w:szCs w:val="24"/>
        </w:rPr>
        <w:t>ese</w:t>
      </w:r>
      <w:r w:rsidR="00273F72" w:rsidRPr="00903BCB">
        <w:rPr>
          <w:sz w:val="24"/>
          <w:szCs w:val="24"/>
        </w:rPr>
        <w:t xml:space="preserve"> curve</w:t>
      </w:r>
      <w:r w:rsidR="009C66A8" w:rsidRPr="00903BCB">
        <w:rPr>
          <w:sz w:val="24"/>
          <w:szCs w:val="24"/>
        </w:rPr>
        <w:t>s</w:t>
      </w:r>
      <w:r w:rsidR="00273F72" w:rsidRPr="00903BCB">
        <w:rPr>
          <w:sz w:val="24"/>
          <w:szCs w:val="24"/>
        </w:rPr>
        <w:t xml:space="preserve"> represents</w:t>
      </w:r>
      <w:r w:rsidRPr="00903BCB">
        <w:rPr>
          <w:sz w:val="24"/>
          <w:szCs w:val="24"/>
        </w:rPr>
        <w:t xml:space="preserve"> the</w:t>
      </w:r>
      <w:r w:rsidR="00273F72" w:rsidRPr="00903BCB">
        <w:rPr>
          <w:sz w:val="24"/>
          <w:szCs w:val="24"/>
        </w:rPr>
        <w:t xml:space="preserve"> increasing</w:t>
      </w:r>
      <w:r w:rsidRPr="00903BCB">
        <w:rPr>
          <w:sz w:val="24"/>
          <w:szCs w:val="24"/>
        </w:rPr>
        <w:t xml:space="preserve"> </w:t>
      </w:r>
      <w:r w:rsidR="00273F72" w:rsidRPr="00903BCB">
        <w:rPr>
          <w:sz w:val="24"/>
          <w:szCs w:val="24"/>
        </w:rPr>
        <w:t>distance</w:t>
      </w:r>
      <w:r w:rsidRPr="00903BCB">
        <w:rPr>
          <w:sz w:val="24"/>
          <w:szCs w:val="24"/>
        </w:rPr>
        <w:t xml:space="preserve"> </w:t>
      </w:r>
      <w:r w:rsidR="00382DE6" w:rsidRPr="00903BCB">
        <w:rPr>
          <w:sz w:val="24"/>
          <w:szCs w:val="24"/>
        </w:rPr>
        <w:t xml:space="preserve">away </w:t>
      </w:r>
      <w:r w:rsidRPr="00903BCB">
        <w:rPr>
          <w:sz w:val="24"/>
          <w:szCs w:val="24"/>
        </w:rPr>
        <w:t>from Amman. However, beyond</w:t>
      </w:r>
      <w:r w:rsidR="004F4495" w:rsidRPr="00903BCB">
        <w:rPr>
          <w:sz w:val="24"/>
          <w:szCs w:val="24"/>
        </w:rPr>
        <w:t xml:space="preserve"> a</w:t>
      </w:r>
      <w:r w:rsidRPr="00903BCB">
        <w:rPr>
          <w:sz w:val="24"/>
          <w:szCs w:val="24"/>
        </w:rPr>
        <w:t xml:space="preserve"> threshold</w:t>
      </w:r>
      <w:r w:rsidR="004F4495" w:rsidRPr="00903BCB">
        <w:rPr>
          <w:sz w:val="24"/>
          <w:szCs w:val="24"/>
        </w:rPr>
        <w:t>,</w:t>
      </w:r>
      <w:r w:rsidRPr="00903BCB">
        <w:rPr>
          <w:sz w:val="24"/>
          <w:szCs w:val="24"/>
        </w:rPr>
        <w:t xml:space="preserve"> the curve</w:t>
      </w:r>
      <w:r w:rsidR="004559D0" w:rsidRPr="00903BCB">
        <w:rPr>
          <w:sz w:val="24"/>
          <w:szCs w:val="24"/>
        </w:rPr>
        <w:t>s inflect</w:t>
      </w:r>
      <w:r w:rsidRPr="00903BCB">
        <w:rPr>
          <w:sz w:val="24"/>
          <w:szCs w:val="24"/>
        </w:rPr>
        <w:t xml:space="preserve"> and gain a positive slope</w:t>
      </w:r>
      <w:r w:rsidR="00AD457E" w:rsidRPr="00903BCB">
        <w:rPr>
          <w:sz w:val="24"/>
          <w:szCs w:val="24"/>
        </w:rPr>
        <w:t>. Th</w:t>
      </w:r>
      <w:r w:rsidR="004559D0" w:rsidRPr="00903BCB">
        <w:rPr>
          <w:sz w:val="24"/>
          <w:szCs w:val="24"/>
        </w:rPr>
        <w:t>ese</w:t>
      </w:r>
      <w:r w:rsidR="00AD457E" w:rsidRPr="00903BCB">
        <w:rPr>
          <w:sz w:val="24"/>
          <w:szCs w:val="24"/>
        </w:rPr>
        <w:t xml:space="preserve"> positive inflection</w:t>
      </w:r>
      <w:r w:rsidR="004559D0" w:rsidRPr="00903BCB">
        <w:rPr>
          <w:sz w:val="24"/>
          <w:szCs w:val="24"/>
        </w:rPr>
        <w:t>s</w:t>
      </w:r>
      <w:r w:rsidR="00AD457E" w:rsidRPr="00903BCB">
        <w:rPr>
          <w:sz w:val="24"/>
          <w:szCs w:val="24"/>
        </w:rPr>
        <w:t xml:space="preserve"> </w:t>
      </w:r>
      <w:r w:rsidR="004559D0" w:rsidRPr="00903BCB">
        <w:rPr>
          <w:sz w:val="24"/>
          <w:szCs w:val="24"/>
        </w:rPr>
        <w:t>are</w:t>
      </w:r>
      <w:r w:rsidR="00AD457E" w:rsidRPr="00903BCB">
        <w:rPr>
          <w:sz w:val="24"/>
          <w:szCs w:val="24"/>
        </w:rPr>
        <w:t xml:space="preserve"> associated with the</w:t>
      </w:r>
      <w:r w:rsidRPr="00903BCB">
        <w:rPr>
          <w:sz w:val="24"/>
          <w:szCs w:val="24"/>
        </w:rPr>
        <w:t xml:space="preserve"> </w:t>
      </w:r>
      <w:r w:rsidR="00D806C5" w:rsidRPr="00903BCB">
        <w:rPr>
          <w:sz w:val="24"/>
          <w:szCs w:val="24"/>
        </w:rPr>
        <w:t xml:space="preserve">remotely located </w:t>
      </w:r>
      <w:r w:rsidR="00310CD6" w:rsidRPr="00903BCB">
        <w:rPr>
          <w:sz w:val="24"/>
          <w:szCs w:val="24"/>
        </w:rPr>
        <w:t xml:space="preserve">governorates </w:t>
      </w:r>
      <w:r w:rsidR="004C5403" w:rsidRPr="00903BCB">
        <w:rPr>
          <w:sz w:val="24"/>
          <w:szCs w:val="24"/>
        </w:rPr>
        <w:t>in relation</w:t>
      </w:r>
      <w:r w:rsidR="00310CD6" w:rsidRPr="00903BCB">
        <w:rPr>
          <w:sz w:val="24"/>
          <w:szCs w:val="24"/>
        </w:rPr>
        <w:t xml:space="preserve"> </w:t>
      </w:r>
      <w:r w:rsidR="004C5403" w:rsidRPr="00903BCB">
        <w:rPr>
          <w:sz w:val="24"/>
          <w:szCs w:val="24"/>
        </w:rPr>
        <w:t xml:space="preserve">to </w:t>
      </w:r>
      <w:r w:rsidR="00310CD6" w:rsidRPr="00903BCB">
        <w:rPr>
          <w:sz w:val="24"/>
          <w:szCs w:val="24"/>
        </w:rPr>
        <w:t>Amman</w:t>
      </w:r>
      <w:r w:rsidR="00AD457E" w:rsidRPr="00903BCB">
        <w:rPr>
          <w:sz w:val="24"/>
          <w:szCs w:val="24"/>
        </w:rPr>
        <w:t xml:space="preserve"> </w:t>
      </w:r>
      <w:r w:rsidRPr="00903BCB">
        <w:rPr>
          <w:sz w:val="24"/>
          <w:szCs w:val="24"/>
        </w:rPr>
        <w:t>(</w:t>
      </w:r>
      <w:r w:rsidR="00E96330" w:rsidRPr="00903BCB">
        <w:rPr>
          <w:sz w:val="24"/>
          <w:szCs w:val="24"/>
        </w:rPr>
        <w:t xml:space="preserve">Mafraq </w:t>
      </w:r>
      <w:r w:rsidR="000B6D11" w:rsidRPr="00903BCB">
        <w:rPr>
          <w:sz w:val="24"/>
          <w:szCs w:val="24"/>
        </w:rPr>
        <w:t xml:space="preserve">on Chart 3 and </w:t>
      </w:r>
      <w:r w:rsidR="00E96330" w:rsidRPr="00903BCB">
        <w:rPr>
          <w:sz w:val="24"/>
          <w:szCs w:val="24"/>
        </w:rPr>
        <w:t>Ma</w:t>
      </w:r>
      <w:r w:rsidR="00372165" w:rsidRPr="00903BCB">
        <w:rPr>
          <w:sz w:val="24"/>
          <w:szCs w:val="24"/>
        </w:rPr>
        <w:t>’</w:t>
      </w:r>
      <w:r w:rsidR="00E96330" w:rsidRPr="00903BCB">
        <w:rPr>
          <w:sz w:val="24"/>
          <w:szCs w:val="24"/>
        </w:rPr>
        <w:t>an</w:t>
      </w:r>
      <w:r w:rsidRPr="00903BCB">
        <w:rPr>
          <w:sz w:val="24"/>
          <w:szCs w:val="24"/>
        </w:rPr>
        <w:t xml:space="preserve"> on Chart 4).</w:t>
      </w:r>
      <w:r w:rsidR="00720856" w:rsidRPr="00903BCB">
        <w:rPr>
          <w:sz w:val="24"/>
          <w:szCs w:val="24"/>
        </w:rPr>
        <w:t xml:space="preserve"> </w:t>
      </w:r>
      <w:r w:rsidR="00273F72" w:rsidRPr="00903BCB">
        <w:rPr>
          <w:sz w:val="24"/>
          <w:szCs w:val="24"/>
        </w:rPr>
        <w:t xml:space="preserve">This means that the central government </w:t>
      </w:r>
      <w:r w:rsidR="00D02440" w:rsidRPr="00903BCB">
        <w:rPr>
          <w:sz w:val="24"/>
          <w:szCs w:val="24"/>
        </w:rPr>
        <w:t>changes the sign of its “criteria”</w:t>
      </w:r>
      <w:r w:rsidR="00273F72" w:rsidRPr="00903BCB">
        <w:rPr>
          <w:sz w:val="24"/>
          <w:szCs w:val="24"/>
        </w:rPr>
        <w:t xml:space="preserve"> beyond a certain </w:t>
      </w:r>
      <w:r w:rsidR="00D02440" w:rsidRPr="00903BCB">
        <w:rPr>
          <w:sz w:val="24"/>
          <w:szCs w:val="24"/>
        </w:rPr>
        <w:t xml:space="preserve">distance </w:t>
      </w:r>
      <w:r w:rsidR="00273F72" w:rsidRPr="00903BCB">
        <w:rPr>
          <w:sz w:val="24"/>
          <w:szCs w:val="24"/>
        </w:rPr>
        <w:t>threshold.</w:t>
      </w:r>
    </w:p>
    <w:p w14:paraId="76E97323" w14:textId="77777777" w:rsidR="00223BC3" w:rsidRPr="00903BCB" w:rsidRDefault="00223BC3" w:rsidP="007D7A82">
      <w:pPr>
        <w:spacing w:line="276" w:lineRule="auto"/>
        <w:ind w:left="0" w:right="0"/>
        <w:rPr>
          <w:sz w:val="24"/>
          <w:szCs w:val="24"/>
        </w:rPr>
      </w:pPr>
    </w:p>
    <w:p w14:paraId="6DF6C082" w14:textId="77777777" w:rsidR="00E041BB" w:rsidRPr="00903BCB" w:rsidRDefault="00E041BB" w:rsidP="009440D3">
      <w:pPr>
        <w:spacing w:line="276" w:lineRule="auto"/>
        <w:ind w:left="0" w:right="0" w:firstLine="720"/>
        <w:rPr>
          <w:sz w:val="24"/>
          <w:szCs w:val="24"/>
        </w:rPr>
      </w:pPr>
    </w:p>
    <w:p w14:paraId="2E4423FA" w14:textId="77777777" w:rsidR="00E041BB" w:rsidRPr="00903BCB" w:rsidRDefault="00E041BB" w:rsidP="009440D3">
      <w:pPr>
        <w:spacing w:line="276" w:lineRule="auto"/>
        <w:ind w:left="0" w:right="0" w:firstLine="720"/>
        <w:rPr>
          <w:sz w:val="24"/>
          <w:szCs w:val="24"/>
        </w:rPr>
      </w:pPr>
    </w:p>
    <w:p w14:paraId="07250544" w14:textId="77777777" w:rsidR="00E041BB" w:rsidRPr="00903BCB" w:rsidRDefault="00E041BB" w:rsidP="009440D3">
      <w:pPr>
        <w:spacing w:line="276" w:lineRule="auto"/>
        <w:ind w:left="0" w:right="0" w:firstLine="720"/>
        <w:rPr>
          <w:sz w:val="24"/>
          <w:szCs w:val="24"/>
        </w:rPr>
      </w:pPr>
    </w:p>
    <w:p w14:paraId="3247B435" w14:textId="77777777" w:rsidR="00E041BB" w:rsidRPr="00903BCB" w:rsidRDefault="00E041BB" w:rsidP="009440D3">
      <w:pPr>
        <w:spacing w:line="276" w:lineRule="auto"/>
        <w:ind w:left="0" w:right="0" w:firstLine="720"/>
        <w:rPr>
          <w:sz w:val="24"/>
          <w:szCs w:val="24"/>
        </w:rPr>
      </w:pPr>
    </w:p>
    <w:p w14:paraId="03D91911" w14:textId="77777777" w:rsidR="00E041BB" w:rsidRPr="00903BCB" w:rsidRDefault="00E041BB" w:rsidP="009440D3">
      <w:pPr>
        <w:spacing w:line="276" w:lineRule="auto"/>
        <w:ind w:left="0" w:right="0" w:firstLine="720"/>
        <w:rPr>
          <w:sz w:val="24"/>
          <w:szCs w:val="24"/>
        </w:rPr>
      </w:pPr>
    </w:p>
    <w:p w14:paraId="1575F008" w14:textId="77777777" w:rsidR="00F25273" w:rsidRDefault="00F25273" w:rsidP="009440D3">
      <w:pPr>
        <w:spacing w:line="276" w:lineRule="auto"/>
        <w:ind w:left="0" w:right="0" w:firstLine="720"/>
        <w:rPr>
          <w:sz w:val="24"/>
          <w:szCs w:val="24"/>
        </w:rPr>
      </w:pPr>
    </w:p>
    <w:p w14:paraId="68861242" w14:textId="77777777" w:rsidR="00F25273" w:rsidRDefault="00F25273" w:rsidP="009440D3">
      <w:pPr>
        <w:spacing w:line="276" w:lineRule="auto"/>
        <w:ind w:left="0" w:right="0" w:firstLine="720"/>
        <w:rPr>
          <w:sz w:val="24"/>
          <w:szCs w:val="24"/>
        </w:rPr>
      </w:pPr>
    </w:p>
    <w:p w14:paraId="7A776662" w14:textId="77777777" w:rsidR="00F25273" w:rsidRDefault="00F25273" w:rsidP="009440D3">
      <w:pPr>
        <w:spacing w:line="276" w:lineRule="auto"/>
        <w:ind w:left="0" w:right="0" w:firstLine="720"/>
        <w:rPr>
          <w:sz w:val="24"/>
          <w:szCs w:val="24"/>
        </w:rPr>
      </w:pPr>
    </w:p>
    <w:p w14:paraId="519FB9D5" w14:textId="77777777" w:rsidR="00F25273" w:rsidRDefault="00F25273" w:rsidP="009440D3">
      <w:pPr>
        <w:spacing w:line="276" w:lineRule="auto"/>
        <w:ind w:left="0" w:right="0" w:firstLine="720"/>
        <w:rPr>
          <w:sz w:val="24"/>
          <w:szCs w:val="24"/>
        </w:rPr>
      </w:pPr>
    </w:p>
    <w:p w14:paraId="3AA3636A" w14:textId="59C27E59" w:rsidR="00E041BB" w:rsidRPr="00903BCB" w:rsidRDefault="00F25273" w:rsidP="00A82985">
      <w:pPr>
        <w:ind w:left="0" w:right="0" w:firstLine="720"/>
        <w:rPr>
          <w:sz w:val="24"/>
          <w:szCs w:val="24"/>
        </w:rPr>
      </w:pPr>
      <w:r w:rsidRPr="00903BCB">
        <w:rPr>
          <w:sz w:val="24"/>
          <w:szCs w:val="24"/>
        </w:rPr>
        <w:t>Chart 5: Transfers vs. Area</w:t>
      </w:r>
    </w:p>
    <w:p w14:paraId="74F2F08F" w14:textId="4489139E" w:rsidR="009440D3" w:rsidRPr="00903BCB" w:rsidRDefault="006137BF" w:rsidP="009440D3">
      <w:pPr>
        <w:spacing w:line="276" w:lineRule="auto"/>
        <w:ind w:left="0" w:right="0" w:firstLine="720"/>
        <w:rPr>
          <w:sz w:val="24"/>
          <w:szCs w:val="24"/>
        </w:rPr>
      </w:pPr>
      <w:r w:rsidRPr="00903BCB">
        <w:rPr>
          <w:noProof/>
          <w:sz w:val="24"/>
          <w:szCs w:val="24"/>
        </w:rPr>
        <w:drawing>
          <wp:anchor distT="0" distB="0" distL="114300" distR="114300" simplePos="0" relativeHeight="251656704" behindDoc="1" locked="0" layoutInCell="1" allowOverlap="1" wp14:anchorId="6BA87D58" wp14:editId="795BA199">
            <wp:simplePos x="0" y="0"/>
            <wp:positionH relativeFrom="column">
              <wp:posOffset>171450</wp:posOffset>
            </wp:positionH>
            <wp:positionV relativeFrom="paragraph">
              <wp:posOffset>163830</wp:posOffset>
            </wp:positionV>
            <wp:extent cx="3733800" cy="2990850"/>
            <wp:effectExtent l="19050" t="0" r="0" b="0"/>
            <wp:wrapTight wrapText="bothSides">
              <wp:wrapPolygon edited="0">
                <wp:start x="-110" y="0"/>
                <wp:lineTo x="-110" y="21462"/>
                <wp:lineTo x="21600" y="21462"/>
                <wp:lineTo x="21600" y="0"/>
                <wp:lineTo x="-11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3733800" cy="2990850"/>
                    </a:xfrm>
                    <a:prstGeom prst="rect">
                      <a:avLst/>
                    </a:prstGeom>
                    <a:noFill/>
                    <a:ln w="9525">
                      <a:noFill/>
                      <a:miter lim="800000"/>
                      <a:headEnd/>
                      <a:tailEnd/>
                    </a:ln>
                  </pic:spPr>
                </pic:pic>
              </a:graphicData>
            </a:graphic>
          </wp:anchor>
        </w:drawing>
      </w:r>
    </w:p>
    <w:p w14:paraId="27039F0D" w14:textId="77777777" w:rsidR="009440D3" w:rsidRPr="00903BCB" w:rsidRDefault="009440D3" w:rsidP="007D7A82">
      <w:pPr>
        <w:spacing w:line="276" w:lineRule="auto"/>
        <w:ind w:left="0" w:right="0"/>
        <w:rPr>
          <w:sz w:val="24"/>
          <w:szCs w:val="24"/>
        </w:rPr>
      </w:pPr>
    </w:p>
    <w:p w14:paraId="50F98E5D" w14:textId="77777777" w:rsidR="00320628" w:rsidRPr="00903BCB" w:rsidRDefault="003368CB" w:rsidP="007D7A82">
      <w:pPr>
        <w:spacing w:line="276" w:lineRule="auto"/>
        <w:ind w:left="0" w:right="0"/>
        <w:rPr>
          <w:sz w:val="24"/>
          <w:szCs w:val="24"/>
        </w:rPr>
      </w:pPr>
      <w:r w:rsidRPr="00903BCB">
        <w:rPr>
          <w:noProof/>
          <w:sz w:val="24"/>
          <w:szCs w:val="24"/>
        </w:rPr>
        <mc:AlternateContent>
          <mc:Choice Requires="wps">
            <w:drawing>
              <wp:anchor distT="0" distB="0" distL="114300" distR="114300" simplePos="0" relativeHeight="251657728" behindDoc="0" locked="0" layoutInCell="1" allowOverlap="1" wp14:anchorId="00FA3065" wp14:editId="191F5648">
                <wp:simplePos x="0" y="0"/>
                <wp:positionH relativeFrom="column">
                  <wp:posOffset>-3381375</wp:posOffset>
                </wp:positionH>
                <wp:positionV relativeFrom="paragraph">
                  <wp:posOffset>125095</wp:posOffset>
                </wp:positionV>
                <wp:extent cx="560705" cy="215265"/>
                <wp:effectExtent l="0" t="0" r="1270" b="254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F2ADB" w14:textId="77777777" w:rsidR="00F25273" w:rsidRPr="009C66A8" w:rsidRDefault="00F25273" w:rsidP="009E5FF3">
                            <w:pPr>
                              <w:ind w:left="0"/>
                              <w:rPr>
                                <w:rFonts w:ascii="Calibri" w:hAnsi="Calibri" w:cs="Calibri"/>
                                <w:sz w:val="16"/>
                                <w:szCs w:val="16"/>
                              </w:rPr>
                            </w:pPr>
                            <w:r w:rsidRPr="009C66A8">
                              <w:rPr>
                                <w:rFonts w:ascii="Calibri" w:hAnsi="Calibri" w:cs="Calibri"/>
                                <w:sz w:val="16"/>
                                <w:szCs w:val="16"/>
                              </w:rPr>
                              <w:t>Amman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0" type="#_x0000_t202" style="position:absolute;left:0;text-align:left;margin-left:-266.2pt;margin-top:9.85pt;width:44.15pt;height:16.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" stroked="f">
                <v:fill opacity="0"/>
                <v:textbox style="mso-fit-shape-to-text:t">
                  <w:txbxContent>
                    <w:p w14:paraId="68EF2ADB" w14:textId="77777777" w:rsidR="007C52EC" w:rsidRPr="009C66A8" w:rsidRDefault="007C52EC" w:rsidP="009E5FF3">
                      <w:pPr>
                        <w:ind w:left="0"/>
                        <w:rPr>
                          <w:rFonts w:ascii="Calibri" w:hAnsi="Calibri" w:cs="Calibri"/>
                          <w:sz w:val="16"/>
                          <w:szCs w:val="16"/>
                        </w:rPr>
                      </w:pPr>
                      <w:r w:rsidRPr="009C66A8">
                        <w:rPr>
                          <w:rFonts w:ascii="Calibri" w:hAnsi="Calibri" w:cs="Calibri"/>
                          <w:sz w:val="16"/>
                          <w:szCs w:val="16"/>
                        </w:rPr>
                        <w:t>Amman</w:t>
                      </w:r>
                    </w:p>
                  </w:txbxContent>
                </v:textbox>
              </v:shape>
            </w:pict>
          </mc:Fallback>
        </mc:AlternateContent>
      </w:r>
    </w:p>
    <w:p w14:paraId="10D75B0F" w14:textId="77777777" w:rsidR="00320628" w:rsidRPr="00903BCB" w:rsidRDefault="00320628" w:rsidP="007D7A82">
      <w:pPr>
        <w:spacing w:line="276" w:lineRule="auto"/>
        <w:ind w:left="0" w:right="0"/>
        <w:rPr>
          <w:sz w:val="24"/>
          <w:szCs w:val="24"/>
        </w:rPr>
      </w:pPr>
    </w:p>
    <w:p w14:paraId="30CCF6B0" w14:textId="77777777" w:rsidR="009440D3" w:rsidRPr="00903BCB" w:rsidRDefault="009440D3" w:rsidP="007D7A82">
      <w:pPr>
        <w:spacing w:line="276" w:lineRule="auto"/>
        <w:ind w:left="0" w:right="0"/>
        <w:rPr>
          <w:sz w:val="24"/>
          <w:szCs w:val="24"/>
        </w:rPr>
      </w:pPr>
    </w:p>
    <w:p w14:paraId="4220862B" w14:textId="77777777" w:rsidR="009440D3" w:rsidRPr="00903BCB" w:rsidRDefault="009440D3" w:rsidP="007D7A82">
      <w:pPr>
        <w:spacing w:line="276" w:lineRule="auto"/>
        <w:ind w:left="0" w:right="0"/>
        <w:rPr>
          <w:sz w:val="24"/>
          <w:szCs w:val="24"/>
        </w:rPr>
      </w:pPr>
    </w:p>
    <w:p w14:paraId="74C7FD5A" w14:textId="77777777" w:rsidR="009440D3" w:rsidRPr="00903BCB" w:rsidRDefault="003368CB" w:rsidP="007D7A82">
      <w:pPr>
        <w:spacing w:line="276" w:lineRule="auto"/>
        <w:ind w:left="0" w:right="0"/>
        <w:rPr>
          <w:sz w:val="24"/>
          <w:szCs w:val="24"/>
        </w:rPr>
      </w:pPr>
      <w:r w:rsidRPr="00903BCB">
        <w:rPr>
          <w:noProof/>
          <w:sz w:val="24"/>
          <w:szCs w:val="24"/>
        </w:rPr>
        <mc:AlternateContent>
          <mc:Choice Requires="wps">
            <w:drawing>
              <wp:anchor distT="0" distB="0" distL="114300" distR="114300" simplePos="0" relativeHeight="251659776" behindDoc="0" locked="0" layoutInCell="1" allowOverlap="1" wp14:anchorId="623DB57D" wp14:editId="74685DA0">
                <wp:simplePos x="0" y="0"/>
                <wp:positionH relativeFrom="column">
                  <wp:posOffset>-2412365</wp:posOffset>
                </wp:positionH>
                <wp:positionV relativeFrom="paragraph">
                  <wp:posOffset>50165</wp:posOffset>
                </wp:positionV>
                <wp:extent cx="560705" cy="215265"/>
                <wp:effectExtent l="635" t="0" r="0" b="127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988CB" w14:textId="77777777" w:rsidR="00F25273" w:rsidRPr="009C66A8" w:rsidRDefault="00F25273" w:rsidP="001D57DB">
                            <w:pPr>
                              <w:ind w:left="0"/>
                              <w:rPr>
                                <w:rFonts w:ascii="Calibri" w:hAnsi="Calibri" w:cs="Calibri"/>
                                <w:sz w:val="16"/>
                                <w:szCs w:val="16"/>
                              </w:rPr>
                            </w:pPr>
                            <w:r>
                              <w:rPr>
                                <w:rFonts w:ascii="Calibri" w:hAnsi="Calibri" w:cs="Calibri"/>
                                <w:sz w:val="16"/>
                                <w:szCs w:val="16"/>
                              </w:rPr>
                              <w:t>Mafraq</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1" type="#_x0000_t202" style="position:absolute;left:0;text-align:left;margin-left:-189.9pt;margin-top:3.95pt;width:44.15pt;height:16.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" stroked="f">
                <v:fill opacity="0"/>
                <v:textbox style="mso-fit-shape-to-text:t">
                  <w:txbxContent>
                    <w:p w14:paraId="119988CB" w14:textId="77777777" w:rsidR="007C52EC" w:rsidRPr="009C66A8" w:rsidRDefault="007C52EC" w:rsidP="001D57DB">
                      <w:pPr>
                        <w:ind w:left="0"/>
                        <w:rPr>
                          <w:rFonts w:ascii="Calibri" w:hAnsi="Calibri" w:cs="Calibri"/>
                          <w:sz w:val="16"/>
                          <w:szCs w:val="16"/>
                        </w:rPr>
                      </w:pPr>
                      <w:r>
                        <w:rPr>
                          <w:rFonts w:ascii="Calibri" w:hAnsi="Calibri" w:cs="Calibri"/>
                          <w:sz w:val="16"/>
                          <w:szCs w:val="16"/>
                        </w:rPr>
                        <w:t>Mafraq</w:t>
                      </w:r>
                    </w:p>
                  </w:txbxContent>
                </v:textbox>
              </v:shape>
            </w:pict>
          </mc:Fallback>
        </mc:AlternateContent>
      </w:r>
    </w:p>
    <w:p w14:paraId="374F6ED1" w14:textId="77777777" w:rsidR="009440D3" w:rsidRPr="00903BCB" w:rsidRDefault="009440D3" w:rsidP="007D7A82">
      <w:pPr>
        <w:spacing w:line="276" w:lineRule="auto"/>
        <w:ind w:left="0" w:right="0"/>
        <w:rPr>
          <w:sz w:val="24"/>
          <w:szCs w:val="24"/>
        </w:rPr>
      </w:pPr>
    </w:p>
    <w:p w14:paraId="7D5B0AFC" w14:textId="77777777" w:rsidR="009440D3" w:rsidRPr="00903BCB" w:rsidRDefault="009440D3" w:rsidP="007D7A82">
      <w:pPr>
        <w:spacing w:line="276" w:lineRule="auto"/>
        <w:ind w:left="0" w:right="0"/>
        <w:rPr>
          <w:sz w:val="24"/>
          <w:szCs w:val="24"/>
        </w:rPr>
      </w:pPr>
    </w:p>
    <w:p w14:paraId="3BCB540F" w14:textId="77777777" w:rsidR="00E041BB" w:rsidRPr="00903BCB" w:rsidRDefault="00E041BB" w:rsidP="007D7A82">
      <w:pPr>
        <w:spacing w:line="276" w:lineRule="auto"/>
        <w:ind w:left="0" w:right="0"/>
        <w:rPr>
          <w:sz w:val="24"/>
          <w:szCs w:val="24"/>
        </w:rPr>
      </w:pPr>
    </w:p>
    <w:p w14:paraId="02648D68" w14:textId="4687177C" w:rsidR="00E041BB" w:rsidRPr="00903BCB" w:rsidRDefault="00E041BB" w:rsidP="007D7A82">
      <w:pPr>
        <w:spacing w:line="276" w:lineRule="auto"/>
        <w:ind w:left="0" w:right="0"/>
        <w:rPr>
          <w:sz w:val="24"/>
          <w:szCs w:val="24"/>
        </w:rPr>
      </w:pPr>
    </w:p>
    <w:p w14:paraId="66918CF8" w14:textId="77777777" w:rsidR="00E041BB" w:rsidRPr="00903BCB" w:rsidRDefault="00E041BB" w:rsidP="007D7A82">
      <w:pPr>
        <w:spacing w:line="276" w:lineRule="auto"/>
        <w:ind w:left="0" w:right="0"/>
        <w:rPr>
          <w:sz w:val="24"/>
          <w:szCs w:val="24"/>
        </w:rPr>
      </w:pPr>
    </w:p>
    <w:p w14:paraId="78D9FD27" w14:textId="77777777" w:rsidR="00E041BB" w:rsidRPr="00903BCB" w:rsidRDefault="00E041BB" w:rsidP="007D7A82">
      <w:pPr>
        <w:spacing w:line="276" w:lineRule="auto"/>
        <w:ind w:left="0" w:right="0"/>
        <w:rPr>
          <w:sz w:val="24"/>
          <w:szCs w:val="24"/>
        </w:rPr>
      </w:pPr>
    </w:p>
    <w:p w14:paraId="5DD1CA0F" w14:textId="77777777" w:rsidR="00E041BB" w:rsidRPr="00903BCB" w:rsidRDefault="00E041BB" w:rsidP="007D7A82">
      <w:pPr>
        <w:spacing w:line="276" w:lineRule="auto"/>
        <w:ind w:left="0" w:right="0"/>
        <w:rPr>
          <w:sz w:val="24"/>
          <w:szCs w:val="24"/>
        </w:rPr>
      </w:pPr>
    </w:p>
    <w:p w14:paraId="54419C41" w14:textId="77777777" w:rsidR="00E041BB" w:rsidRPr="00903BCB" w:rsidRDefault="00E041BB" w:rsidP="007D7A82">
      <w:pPr>
        <w:spacing w:line="276" w:lineRule="auto"/>
        <w:ind w:left="0" w:right="0"/>
        <w:rPr>
          <w:sz w:val="24"/>
          <w:szCs w:val="24"/>
        </w:rPr>
      </w:pPr>
    </w:p>
    <w:p w14:paraId="28C15531" w14:textId="6DF19509" w:rsidR="009440D3" w:rsidRPr="00903BCB" w:rsidRDefault="009440D3" w:rsidP="007D7A82">
      <w:pPr>
        <w:spacing w:line="276" w:lineRule="auto"/>
        <w:ind w:left="0" w:right="0"/>
        <w:rPr>
          <w:sz w:val="24"/>
          <w:szCs w:val="24"/>
        </w:rPr>
      </w:pPr>
    </w:p>
    <w:p w14:paraId="29D4FE76" w14:textId="236A78FA" w:rsidR="002513C2" w:rsidRPr="00903BCB" w:rsidRDefault="007E4CE5" w:rsidP="002513C2">
      <w:pPr>
        <w:spacing w:line="360" w:lineRule="auto"/>
        <w:ind w:left="0" w:right="0"/>
        <w:rPr>
          <w:sz w:val="24"/>
          <w:szCs w:val="24"/>
        </w:rPr>
      </w:pPr>
      <w:r w:rsidRPr="00903BCB">
        <w:rPr>
          <w:sz w:val="24"/>
          <w:szCs w:val="24"/>
        </w:rPr>
        <w:t>The threshold rule</w:t>
      </w:r>
      <w:r w:rsidR="002513C2" w:rsidRPr="00903BCB">
        <w:rPr>
          <w:sz w:val="24"/>
          <w:szCs w:val="24"/>
        </w:rPr>
        <w:t xml:space="preserve"> seems to be a common principle for Jordanian decision-makers and it is also applied to the size of governorates (sq. km.) (see Chart 5)</w:t>
      </w:r>
      <w:r w:rsidR="002513C2" w:rsidRPr="00903BCB">
        <w:rPr>
          <w:rStyle w:val="FootnoteReference"/>
          <w:sz w:val="24"/>
          <w:szCs w:val="24"/>
        </w:rPr>
        <w:footnoteReference w:id="15"/>
      </w:r>
      <w:r w:rsidR="002513C2" w:rsidRPr="00903BCB">
        <w:rPr>
          <w:sz w:val="24"/>
          <w:szCs w:val="24"/>
        </w:rPr>
        <w:t xml:space="preserve">. Amounts transferred correlate positively with the size of the governorates up to </w:t>
      </w:r>
      <w:r w:rsidR="00F16321" w:rsidRPr="00903BCB">
        <w:rPr>
          <w:sz w:val="24"/>
          <w:szCs w:val="24"/>
        </w:rPr>
        <w:t>a certain</w:t>
      </w:r>
      <w:r w:rsidR="002513C2" w:rsidRPr="00903BCB">
        <w:rPr>
          <w:sz w:val="24"/>
          <w:szCs w:val="24"/>
        </w:rPr>
        <w:t xml:space="preserve"> level</w:t>
      </w:r>
      <w:r w:rsidR="000034DF" w:rsidRPr="00903BCB">
        <w:rPr>
          <w:sz w:val="24"/>
          <w:szCs w:val="24"/>
        </w:rPr>
        <w:t>,</w:t>
      </w:r>
      <w:r w:rsidR="002513C2" w:rsidRPr="00903BCB">
        <w:rPr>
          <w:sz w:val="24"/>
          <w:szCs w:val="24"/>
        </w:rPr>
        <w:t xml:space="preserve"> beyond which size is not compensated with additional funding. </w:t>
      </w:r>
    </w:p>
    <w:p w14:paraId="6B32BAC6" w14:textId="77777777" w:rsidR="009440D3" w:rsidRPr="00903BCB" w:rsidRDefault="009440D3" w:rsidP="007D7A82">
      <w:pPr>
        <w:spacing w:line="276" w:lineRule="auto"/>
        <w:ind w:left="0" w:right="0"/>
        <w:rPr>
          <w:sz w:val="24"/>
          <w:szCs w:val="24"/>
        </w:rPr>
      </w:pPr>
    </w:p>
    <w:p w14:paraId="143429D4" w14:textId="45708379" w:rsidR="00F12DAF" w:rsidRPr="00903BCB" w:rsidRDefault="00163856" w:rsidP="0020650D">
      <w:pPr>
        <w:spacing w:line="360" w:lineRule="auto"/>
        <w:ind w:left="0" w:right="0"/>
        <w:rPr>
          <w:sz w:val="24"/>
          <w:szCs w:val="24"/>
        </w:rPr>
      </w:pPr>
      <w:r w:rsidRPr="00903BCB">
        <w:rPr>
          <w:sz w:val="24"/>
          <w:szCs w:val="24"/>
        </w:rPr>
        <w:t>An</w:t>
      </w:r>
      <w:r w:rsidR="006B7224" w:rsidRPr="00903BCB">
        <w:rPr>
          <w:sz w:val="24"/>
          <w:szCs w:val="24"/>
        </w:rPr>
        <w:t xml:space="preserve">other reason for the </w:t>
      </w:r>
      <w:r w:rsidRPr="00903BCB">
        <w:rPr>
          <w:sz w:val="24"/>
          <w:szCs w:val="24"/>
        </w:rPr>
        <w:t xml:space="preserve">problems </w:t>
      </w:r>
      <w:r w:rsidR="006B7224" w:rsidRPr="00903BCB">
        <w:rPr>
          <w:sz w:val="24"/>
          <w:szCs w:val="24"/>
        </w:rPr>
        <w:t xml:space="preserve">M1 faced </w:t>
      </w:r>
      <w:r w:rsidR="000034DF" w:rsidRPr="00903BCB">
        <w:rPr>
          <w:sz w:val="24"/>
          <w:szCs w:val="24"/>
        </w:rPr>
        <w:t>in</w:t>
      </w:r>
      <w:r w:rsidR="006B7224" w:rsidRPr="00903BCB">
        <w:rPr>
          <w:sz w:val="24"/>
          <w:szCs w:val="24"/>
        </w:rPr>
        <w:t xml:space="preserve"> adjust</w:t>
      </w:r>
      <w:r w:rsidR="000034DF" w:rsidRPr="00903BCB">
        <w:rPr>
          <w:sz w:val="24"/>
          <w:szCs w:val="24"/>
        </w:rPr>
        <w:t>ing</w:t>
      </w:r>
      <w:r w:rsidR="006B7224" w:rsidRPr="00903BCB">
        <w:rPr>
          <w:sz w:val="24"/>
          <w:szCs w:val="24"/>
        </w:rPr>
        <w:t xml:space="preserve"> to actual transfers </w:t>
      </w:r>
      <w:r w:rsidR="00A531AC" w:rsidRPr="00903BCB">
        <w:rPr>
          <w:sz w:val="24"/>
          <w:szCs w:val="24"/>
        </w:rPr>
        <w:t xml:space="preserve">may be simply that not all </w:t>
      </w:r>
      <w:r w:rsidR="00382DE6" w:rsidRPr="00903BCB">
        <w:rPr>
          <w:sz w:val="24"/>
          <w:szCs w:val="24"/>
        </w:rPr>
        <w:t xml:space="preserve">of the </w:t>
      </w:r>
      <w:r w:rsidR="00A531AC" w:rsidRPr="00903BCB">
        <w:rPr>
          <w:sz w:val="24"/>
          <w:szCs w:val="24"/>
        </w:rPr>
        <w:t xml:space="preserve">criteria included in the subset of criteria </w:t>
      </w:r>
      <w:r w:rsidR="00D73DB2" w:rsidRPr="00903BCB">
        <w:rPr>
          <w:sz w:val="24"/>
          <w:szCs w:val="24"/>
        </w:rPr>
        <w:t>in the literature resemble</w:t>
      </w:r>
      <w:r w:rsidR="00A531AC" w:rsidRPr="00903BCB">
        <w:rPr>
          <w:sz w:val="24"/>
          <w:szCs w:val="24"/>
        </w:rPr>
        <w:t xml:space="preserve"> the policy practice in Jordan</w:t>
      </w:r>
      <w:r w:rsidR="00123DC5" w:rsidRPr="00903BCB">
        <w:rPr>
          <w:sz w:val="24"/>
          <w:szCs w:val="24"/>
        </w:rPr>
        <w:t>. Actually,</w:t>
      </w:r>
      <w:r w:rsidR="00A531AC" w:rsidRPr="00903BCB">
        <w:rPr>
          <w:sz w:val="24"/>
          <w:szCs w:val="24"/>
        </w:rPr>
        <w:t xml:space="preserve"> </w:t>
      </w:r>
      <w:r w:rsidR="00592389" w:rsidRPr="00903BCB">
        <w:rPr>
          <w:sz w:val="24"/>
          <w:szCs w:val="24"/>
        </w:rPr>
        <w:t>in the</w:t>
      </w:r>
      <w:r w:rsidR="00A531AC" w:rsidRPr="00903BCB">
        <w:rPr>
          <w:sz w:val="24"/>
          <w:szCs w:val="24"/>
        </w:rPr>
        <w:t xml:space="preserve"> </w:t>
      </w:r>
      <w:r w:rsidRPr="00903BCB">
        <w:rPr>
          <w:sz w:val="24"/>
          <w:szCs w:val="24"/>
        </w:rPr>
        <w:t xml:space="preserve">reduced model </w:t>
      </w:r>
      <w:r w:rsidR="00F669E5" w:rsidRPr="00903BCB">
        <w:rPr>
          <w:sz w:val="24"/>
          <w:szCs w:val="24"/>
        </w:rPr>
        <w:t>(F=67.339, R</w:t>
      </w:r>
      <w:r w:rsidR="00F669E5" w:rsidRPr="00903BCB">
        <w:rPr>
          <w:sz w:val="24"/>
          <w:szCs w:val="24"/>
          <w:vertAlign w:val="superscript"/>
        </w:rPr>
        <w:t>2</w:t>
      </w:r>
      <w:r w:rsidR="00F669E5" w:rsidRPr="00903BCB">
        <w:rPr>
          <w:sz w:val="24"/>
          <w:szCs w:val="24"/>
        </w:rPr>
        <w:t>=0.931, N=12)</w:t>
      </w:r>
      <w:r w:rsidR="00592389" w:rsidRPr="00903BCB">
        <w:rPr>
          <w:sz w:val="24"/>
          <w:szCs w:val="24"/>
        </w:rPr>
        <w:t>,</w:t>
      </w:r>
      <w:r w:rsidR="00F669E5" w:rsidRPr="00903BCB">
        <w:rPr>
          <w:sz w:val="24"/>
          <w:szCs w:val="24"/>
        </w:rPr>
        <w:t xml:space="preserve"> </w:t>
      </w:r>
      <w:r w:rsidR="00A531AC" w:rsidRPr="00903BCB">
        <w:rPr>
          <w:sz w:val="24"/>
          <w:szCs w:val="24"/>
        </w:rPr>
        <w:t xml:space="preserve">when running a </w:t>
      </w:r>
      <w:r w:rsidR="00966D4E" w:rsidRPr="00903BCB">
        <w:rPr>
          <w:sz w:val="24"/>
          <w:szCs w:val="24"/>
        </w:rPr>
        <w:t xml:space="preserve">linear </w:t>
      </w:r>
      <w:r w:rsidR="00A531AC" w:rsidRPr="00903BCB">
        <w:rPr>
          <w:sz w:val="24"/>
          <w:szCs w:val="24"/>
        </w:rPr>
        <w:t xml:space="preserve">regression analysis with </w:t>
      </w:r>
      <w:r w:rsidR="00592389" w:rsidRPr="00903BCB">
        <w:rPr>
          <w:sz w:val="24"/>
          <w:szCs w:val="24"/>
        </w:rPr>
        <w:t>all</w:t>
      </w:r>
      <w:r w:rsidR="00A531AC" w:rsidRPr="00903BCB">
        <w:rPr>
          <w:sz w:val="24"/>
          <w:szCs w:val="24"/>
        </w:rPr>
        <w:t xml:space="preserve"> five criteria</w:t>
      </w:r>
      <w:r w:rsidR="00592389" w:rsidRPr="00903BCB">
        <w:rPr>
          <w:sz w:val="24"/>
          <w:szCs w:val="24"/>
        </w:rPr>
        <w:t>,</w:t>
      </w:r>
      <w:r w:rsidR="00A531AC" w:rsidRPr="00903BCB">
        <w:rPr>
          <w:sz w:val="24"/>
          <w:szCs w:val="24"/>
        </w:rPr>
        <w:t xml:space="preserve"> </w:t>
      </w:r>
      <w:r w:rsidR="00592389" w:rsidRPr="00903BCB">
        <w:rPr>
          <w:sz w:val="24"/>
          <w:szCs w:val="24"/>
        </w:rPr>
        <w:t xml:space="preserve">only </w:t>
      </w:r>
      <w:r w:rsidR="00391329" w:rsidRPr="00903BCB">
        <w:rPr>
          <w:sz w:val="24"/>
          <w:szCs w:val="24"/>
        </w:rPr>
        <w:t>population</w:t>
      </w:r>
      <w:r w:rsidR="00A531AC" w:rsidRPr="00903BCB">
        <w:rPr>
          <w:sz w:val="24"/>
          <w:szCs w:val="24"/>
        </w:rPr>
        <w:t xml:space="preserve"> </w:t>
      </w:r>
      <w:r w:rsidR="00F669E5" w:rsidRPr="00903BCB">
        <w:rPr>
          <w:sz w:val="24"/>
          <w:szCs w:val="24"/>
        </w:rPr>
        <w:t>(β=0.064</w:t>
      </w:r>
      <w:r w:rsidR="00123DC5" w:rsidRPr="00903BCB">
        <w:rPr>
          <w:sz w:val="24"/>
          <w:szCs w:val="24"/>
        </w:rPr>
        <w:t>*</w:t>
      </w:r>
      <w:r w:rsidR="00F669E5" w:rsidRPr="00903BCB">
        <w:rPr>
          <w:sz w:val="24"/>
          <w:szCs w:val="24"/>
        </w:rPr>
        <w:t xml:space="preserve">, std. error=0.007) </w:t>
      </w:r>
      <w:r w:rsidR="00391329" w:rsidRPr="00903BCB">
        <w:rPr>
          <w:sz w:val="24"/>
          <w:szCs w:val="24"/>
        </w:rPr>
        <w:t>and area</w:t>
      </w:r>
      <w:r w:rsidR="00B14EEA" w:rsidRPr="00903BCB">
        <w:rPr>
          <w:sz w:val="24"/>
          <w:szCs w:val="24"/>
        </w:rPr>
        <w:t xml:space="preserve"> </w:t>
      </w:r>
      <w:r w:rsidR="00F669E5" w:rsidRPr="00903BCB">
        <w:rPr>
          <w:sz w:val="24"/>
          <w:szCs w:val="24"/>
        </w:rPr>
        <w:t>(β=1.574</w:t>
      </w:r>
      <w:r w:rsidR="00123DC5" w:rsidRPr="00903BCB">
        <w:rPr>
          <w:sz w:val="24"/>
          <w:szCs w:val="24"/>
        </w:rPr>
        <w:t>*</w:t>
      </w:r>
      <w:r w:rsidR="00F669E5" w:rsidRPr="00903BCB">
        <w:rPr>
          <w:sz w:val="24"/>
          <w:szCs w:val="24"/>
        </w:rPr>
        <w:t>, std. error=0.433)</w:t>
      </w:r>
      <w:r w:rsidR="00592389" w:rsidRPr="00903BCB">
        <w:rPr>
          <w:sz w:val="24"/>
          <w:szCs w:val="24"/>
        </w:rPr>
        <w:t xml:space="preserve"> are included as significant independent variables</w:t>
      </w:r>
      <w:r w:rsidR="00681E9A" w:rsidRPr="00903BCB">
        <w:rPr>
          <w:sz w:val="24"/>
          <w:szCs w:val="24"/>
        </w:rPr>
        <w:t xml:space="preserve"> or parameters</w:t>
      </w:r>
      <w:r w:rsidR="00A531AC" w:rsidRPr="00903BCB">
        <w:rPr>
          <w:sz w:val="24"/>
          <w:szCs w:val="24"/>
        </w:rPr>
        <w:t>.</w:t>
      </w:r>
      <w:r w:rsidR="00D73DB2" w:rsidRPr="00903BCB">
        <w:rPr>
          <w:rStyle w:val="FootnoteReference"/>
          <w:sz w:val="24"/>
          <w:szCs w:val="24"/>
        </w:rPr>
        <w:footnoteReference w:id="16"/>
      </w:r>
      <w:r w:rsidR="001A69EA" w:rsidRPr="00903BCB">
        <w:rPr>
          <w:sz w:val="24"/>
          <w:szCs w:val="24"/>
        </w:rPr>
        <w:t xml:space="preserve"> </w:t>
      </w:r>
      <w:r w:rsidR="000034DF" w:rsidRPr="00903BCB">
        <w:rPr>
          <w:sz w:val="24"/>
          <w:szCs w:val="24"/>
        </w:rPr>
        <w:t xml:space="preserve">Between </w:t>
      </w:r>
      <w:r w:rsidR="00524130" w:rsidRPr="00903BCB">
        <w:rPr>
          <w:sz w:val="24"/>
          <w:szCs w:val="24"/>
        </w:rPr>
        <w:t>these two criteria</w:t>
      </w:r>
      <w:r w:rsidR="000034DF" w:rsidRPr="00903BCB">
        <w:rPr>
          <w:sz w:val="24"/>
          <w:szCs w:val="24"/>
        </w:rPr>
        <w:t>,</w:t>
      </w:r>
      <w:r w:rsidR="00524130" w:rsidRPr="00903BCB">
        <w:rPr>
          <w:sz w:val="24"/>
          <w:szCs w:val="24"/>
        </w:rPr>
        <w:t xml:space="preserve"> p</w:t>
      </w:r>
      <w:r w:rsidR="001A69EA" w:rsidRPr="00903BCB">
        <w:rPr>
          <w:sz w:val="24"/>
          <w:szCs w:val="24"/>
        </w:rPr>
        <w:t xml:space="preserve">opulation </w:t>
      </w:r>
      <w:r w:rsidR="00524130" w:rsidRPr="00903BCB">
        <w:rPr>
          <w:sz w:val="24"/>
          <w:szCs w:val="24"/>
        </w:rPr>
        <w:t xml:space="preserve">(standardized beta=0.819) plays a much more important role in </w:t>
      </w:r>
      <w:r w:rsidR="00391329" w:rsidRPr="00903BCB">
        <w:rPr>
          <w:sz w:val="24"/>
          <w:szCs w:val="24"/>
        </w:rPr>
        <w:t>transfer decisions than area</w:t>
      </w:r>
      <w:r w:rsidR="00524130" w:rsidRPr="00903BCB">
        <w:rPr>
          <w:sz w:val="24"/>
          <w:szCs w:val="24"/>
        </w:rPr>
        <w:t xml:space="preserve"> (standardized beta=0.317). </w:t>
      </w:r>
      <w:r w:rsidR="00382DE6" w:rsidRPr="00903BCB">
        <w:rPr>
          <w:sz w:val="24"/>
          <w:szCs w:val="24"/>
        </w:rPr>
        <w:t>P</w:t>
      </w:r>
      <w:r w:rsidR="00524130" w:rsidRPr="00903BCB">
        <w:rPr>
          <w:sz w:val="24"/>
          <w:szCs w:val="24"/>
        </w:rPr>
        <w:t xml:space="preserve">opulation </w:t>
      </w:r>
      <w:r w:rsidR="001A69EA" w:rsidRPr="00903BCB">
        <w:rPr>
          <w:sz w:val="24"/>
          <w:szCs w:val="24"/>
        </w:rPr>
        <w:t xml:space="preserve">alone correlates 0.875 </w:t>
      </w:r>
      <w:r w:rsidR="00C13D17" w:rsidRPr="00903BCB">
        <w:rPr>
          <w:sz w:val="24"/>
          <w:szCs w:val="24"/>
        </w:rPr>
        <w:t xml:space="preserve">(Pearson Correlation) </w:t>
      </w:r>
      <w:r w:rsidR="001A69EA" w:rsidRPr="00903BCB">
        <w:rPr>
          <w:sz w:val="24"/>
          <w:szCs w:val="24"/>
        </w:rPr>
        <w:t>with transfers (see Chart 6)</w:t>
      </w:r>
      <w:r w:rsidR="00524130" w:rsidRPr="00903BCB">
        <w:rPr>
          <w:sz w:val="24"/>
          <w:szCs w:val="24"/>
        </w:rPr>
        <w:t>.</w:t>
      </w:r>
    </w:p>
    <w:p w14:paraId="30357312" w14:textId="77777777" w:rsidR="002513C2" w:rsidRPr="00903BCB" w:rsidRDefault="002513C2" w:rsidP="0020650D">
      <w:pPr>
        <w:spacing w:line="360" w:lineRule="auto"/>
        <w:ind w:left="0" w:right="0"/>
        <w:rPr>
          <w:sz w:val="24"/>
          <w:szCs w:val="24"/>
        </w:rPr>
      </w:pPr>
    </w:p>
    <w:p w14:paraId="0D8C5734" w14:textId="77777777" w:rsidR="000D70A3" w:rsidRPr="00903BCB" w:rsidRDefault="006137BF" w:rsidP="00123DC5">
      <w:pPr>
        <w:spacing w:line="276" w:lineRule="auto"/>
        <w:ind w:left="720" w:right="0"/>
        <w:rPr>
          <w:b/>
          <w:sz w:val="24"/>
          <w:szCs w:val="24"/>
        </w:rPr>
      </w:pPr>
      <w:r w:rsidRPr="00903BCB">
        <w:rPr>
          <w:noProof/>
          <w:sz w:val="24"/>
          <w:szCs w:val="24"/>
        </w:rPr>
        <w:drawing>
          <wp:anchor distT="0" distB="0" distL="114300" distR="114300" simplePos="0" relativeHeight="251660800" behindDoc="1" locked="0" layoutInCell="1" allowOverlap="1" wp14:anchorId="0418519F" wp14:editId="3400027A">
            <wp:simplePos x="0" y="0"/>
            <wp:positionH relativeFrom="column">
              <wp:posOffset>161925</wp:posOffset>
            </wp:positionH>
            <wp:positionV relativeFrom="paragraph">
              <wp:posOffset>178435</wp:posOffset>
            </wp:positionV>
            <wp:extent cx="3733800" cy="2990850"/>
            <wp:effectExtent l="19050" t="0" r="0" b="0"/>
            <wp:wrapTight wrapText="bothSides">
              <wp:wrapPolygon edited="0">
                <wp:start x="-110" y="0"/>
                <wp:lineTo x="-110" y="21462"/>
                <wp:lineTo x="21600" y="21462"/>
                <wp:lineTo x="21600" y="0"/>
                <wp:lineTo x="-11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3733800" cy="2990850"/>
                    </a:xfrm>
                    <a:prstGeom prst="rect">
                      <a:avLst/>
                    </a:prstGeom>
                    <a:noFill/>
                    <a:ln w="9525">
                      <a:noFill/>
                      <a:miter lim="800000"/>
                      <a:headEnd/>
                      <a:tailEnd/>
                    </a:ln>
                  </pic:spPr>
                </pic:pic>
              </a:graphicData>
            </a:graphic>
          </wp:anchor>
        </w:drawing>
      </w:r>
      <w:r w:rsidR="001A69EA" w:rsidRPr="00903BCB">
        <w:rPr>
          <w:sz w:val="24"/>
          <w:szCs w:val="24"/>
        </w:rPr>
        <w:t xml:space="preserve">Chart </w:t>
      </w:r>
      <w:r w:rsidR="003730E7" w:rsidRPr="00903BCB">
        <w:rPr>
          <w:sz w:val="24"/>
          <w:szCs w:val="24"/>
        </w:rPr>
        <w:t>6</w:t>
      </w:r>
      <w:r w:rsidR="001A69EA" w:rsidRPr="00903BCB">
        <w:rPr>
          <w:sz w:val="24"/>
          <w:szCs w:val="24"/>
        </w:rPr>
        <w:t>:</w:t>
      </w:r>
      <w:r w:rsidR="00244FCF" w:rsidRPr="00903BCB">
        <w:rPr>
          <w:sz w:val="24"/>
          <w:szCs w:val="24"/>
        </w:rPr>
        <w:t xml:space="preserve"> Transfers vs. Population</w:t>
      </w:r>
    </w:p>
    <w:p w14:paraId="5BFA1B50" w14:textId="77777777" w:rsidR="009E7982" w:rsidRPr="00903BCB" w:rsidRDefault="009E7982" w:rsidP="007D7A82">
      <w:pPr>
        <w:spacing w:line="276" w:lineRule="auto"/>
        <w:ind w:left="0" w:right="0"/>
        <w:rPr>
          <w:b/>
          <w:sz w:val="24"/>
          <w:szCs w:val="24"/>
        </w:rPr>
      </w:pPr>
    </w:p>
    <w:p w14:paraId="24F6B976" w14:textId="77777777" w:rsidR="009E7982" w:rsidRPr="00903BCB" w:rsidRDefault="003368CB" w:rsidP="007D7A82">
      <w:pPr>
        <w:spacing w:line="276" w:lineRule="auto"/>
        <w:ind w:left="0" w:right="0"/>
        <w:rPr>
          <w:b/>
          <w:sz w:val="24"/>
          <w:szCs w:val="24"/>
        </w:rPr>
      </w:pPr>
      <w:r w:rsidRPr="00903BCB">
        <w:rPr>
          <w:noProof/>
          <w:sz w:val="24"/>
          <w:szCs w:val="24"/>
        </w:rPr>
        <mc:AlternateContent>
          <mc:Choice Requires="wps">
            <w:drawing>
              <wp:anchor distT="0" distB="0" distL="114300" distR="114300" simplePos="0" relativeHeight="251664896" behindDoc="0" locked="0" layoutInCell="1" allowOverlap="1" wp14:anchorId="7F6BC142" wp14:editId="63E1F0FE">
                <wp:simplePos x="0" y="0"/>
                <wp:positionH relativeFrom="column">
                  <wp:posOffset>-1625600</wp:posOffset>
                </wp:positionH>
                <wp:positionV relativeFrom="paragraph">
                  <wp:posOffset>144780</wp:posOffset>
                </wp:positionV>
                <wp:extent cx="560705" cy="215265"/>
                <wp:effectExtent l="0" t="508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06960" w14:textId="77777777" w:rsidR="00F25273" w:rsidRPr="009C66A8" w:rsidRDefault="00F25273" w:rsidP="00D9477A">
                            <w:pPr>
                              <w:ind w:left="0"/>
                              <w:rPr>
                                <w:rFonts w:ascii="Calibri" w:hAnsi="Calibri" w:cs="Calibri"/>
                                <w:sz w:val="16"/>
                                <w:szCs w:val="16"/>
                              </w:rPr>
                            </w:pPr>
                            <w:r w:rsidRPr="009C66A8">
                              <w:rPr>
                                <w:rFonts w:ascii="Calibri" w:hAnsi="Calibri" w:cs="Calibri"/>
                                <w:sz w:val="16"/>
                                <w:szCs w:val="16"/>
                              </w:rPr>
                              <w:t>Amman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3" type="#_x0000_t202" style="position:absolute;left:0;text-align:left;margin-left:-127.95pt;margin-top:11.4pt;width:44.15pt;height:16.9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" stroked="f">
                <v:fill opacity="0"/>
                <v:textbox style="mso-fit-shape-to-text:t">
                  <w:txbxContent>
                    <w:p w14:paraId="3DF06960" w14:textId="77777777" w:rsidR="007C52EC" w:rsidRPr="009C66A8" w:rsidRDefault="007C52EC" w:rsidP="00D9477A">
                      <w:pPr>
                        <w:ind w:left="0"/>
                        <w:rPr>
                          <w:rFonts w:ascii="Calibri" w:hAnsi="Calibri" w:cs="Calibri"/>
                          <w:sz w:val="16"/>
                          <w:szCs w:val="16"/>
                        </w:rPr>
                      </w:pPr>
                      <w:r w:rsidRPr="009C66A8">
                        <w:rPr>
                          <w:rFonts w:ascii="Calibri" w:hAnsi="Calibri" w:cs="Calibri"/>
                          <w:sz w:val="16"/>
                          <w:szCs w:val="16"/>
                        </w:rPr>
                        <w:t>Amman</w:t>
                      </w:r>
                    </w:p>
                  </w:txbxContent>
                </v:textbox>
              </v:shape>
            </w:pict>
          </mc:Fallback>
        </mc:AlternateContent>
      </w:r>
    </w:p>
    <w:p w14:paraId="28359ED6" w14:textId="77777777" w:rsidR="00123DC5" w:rsidRPr="00903BCB" w:rsidRDefault="00123DC5" w:rsidP="007D7A82">
      <w:pPr>
        <w:spacing w:line="276" w:lineRule="auto"/>
        <w:ind w:left="0" w:right="0"/>
        <w:rPr>
          <w:sz w:val="24"/>
          <w:szCs w:val="24"/>
        </w:rPr>
      </w:pPr>
    </w:p>
    <w:p w14:paraId="2C1B4FB6" w14:textId="77777777" w:rsidR="00123DC5" w:rsidRPr="00903BCB" w:rsidRDefault="00123DC5" w:rsidP="007D7A82">
      <w:pPr>
        <w:spacing w:line="276" w:lineRule="auto"/>
        <w:ind w:left="0" w:right="0"/>
        <w:rPr>
          <w:sz w:val="24"/>
          <w:szCs w:val="24"/>
        </w:rPr>
      </w:pPr>
    </w:p>
    <w:p w14:paraId="2ECDB609" w14:textId="77777777" w:rsidR="00123DC5" w:rsidRPr="00903BCB" w:rsidRDefault="003368CB" w:rsidP="007D7A82">
      <w:pPr>
        <w:spacing w:line="276" w:lineRule="auto"/>
        <w:ind w:left="0" w:right="0"/>
        <w:rPr>
          <w:sz w:val="24"/>
          <w:szCs w:val="24"/>
        </w:rPr>
      </w:pPr>
      <w:r w:rsidRPr="00903BCB">
        <w:rPr>
          <w:noProof/>
          <w:sz w:val="24"/>
          <w:szCs w:val="24"/>
        </w:rPr>
        <mc:AlternateContent>
          <mc:Choice Requires="wps">
            <w:drawing>
              <wp:anchor distT="0" distB="0" distL="114300" distR="114300" simplePos="0" relativeHeight="251662848" behindDoc="0" locked="0" layoutInCell="1" allowOverlap="1" wp14:anchorId="6DE72F64" wp14:editId="5911F77A">
                <wp:simplePos x="0" y="0"/>
                <wp:positionH relativeFrom="column">
                  <wp:posOffset>-2857500</wp:posOffset>
                </wp:positionH>
                <wp:positionV relativeFrom="paragraph">
                  <wp:posOffset>103505</wp:posOffset>
                </wp:positionV>
                <wp:extent cx="457200" cy="215265"/>
                <wp:effectExtent l="0" t="1905"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1633E" w14:textId="77777777" w:rsidR="00F25273" w:rsidRPr="004559D0" w:rsidRDefault="00F25273" w:rsidP="004E2234">
                            <w:pPr>
                              <w:ind w:left="0"/>
                              <w:rPr>
                                <w:rFonts w:ascii="Calibri" w:hAnsi="Calibri" w:cs="Calibri"/>
                                <w:sz w:val="16"/>
                                <w:szCs w:val="16"/>
                              </w:rPr>
                            </w:pPr>
                            <w:r>
                              <w:rPr>
                                <w:rFonts w:ascii="Calibri" w:hAnsi="Calibri" w:cs="Calibri"/>
                                <w:sz w:val="16"/>
                                <w:szCs w:val="16"/>
                              </w:rPr>
                              <w:t>Zarqa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4" type="#_x0000_t202" style="position:absolute;left:0;text-align:left;margin-left:-224.95pt;margin-top:8.15pt;width:36pt;height:16.9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" stroked="f">
                <v:fill opacity="0"/>
                <v:textbox style="mso-fit-shape-to-text:t">
                  <w:txbxContent>
                    <w:p w14:paraId="71C1633E" w14:textId="77777777" w:rsidR="007C52EC" w:rsidRPr="004559D0" w:rsidRDefault="007C52EC" w:rsidP="004E2234">
                      <w:pPr>
                        <w:ind w:left="0"/>
                        <w:rPr>
                          <w:rFonts w:ascii="Calibri" w:hAnsi="Calibri" w:cs="Calibri"/>
                          <w:sz w:val="16"/>
                          <w:szCs w:val="16"/>
                        </w:rPr>
                      </w:pPr>
                      <w:r>
                        <w:rPr>
                          <w:rFonts w:ascii="Calibri" w:hAnsi="Calibri" w:cs="Calibri"/>
                          <w:sz w:val="16"/>
                          <w:szCs w:val="16"/>
                        </w:rPr>
                        <w:t>Zarqa</w:t>
                      </w:r>
                    </w:p>
                  </w:txbxContent>
                </v:textbox>
              </v:shape>
            </w:pict>
          </mc:Fallback>
        </mc:AlternateContent>
      </w:r>
    </w:p>
    <w:p w14:paraId="24CD4499" w14:textId="77777777" w:rsidR="00123DC5" w:rsidRPr="00903BCB" w:rsidRDefault="003368CB" w:rsidP="007D7A82">
      <w:pPr>
        <w:spacing w:line="276" w:lineRule="auto"/>
        <w:ind w:left="0" w:right="0"/>
        <w:rPr>
          <w:sz w:val="24"/>
          <w:szCs w:val="24"/>
        </w:rPr>
      </w:pPr>
      <w:r w:rsidRPr="00903BCB">
        <w:rPr>
          <w:noProof/>
          <w:sz w:val="24"/>
          <w:szCs w:val="24"/>
        </w:rPr>
        <mc:AlternateContent>
          <mc:Choice Requires="wps">
            <w:drawing>
              <wp:anchor distT="0" distB="0" distL="114300" distR="114300" simplePos="0" relativeHeight="251663872" behindDoc="0" locked="0" layoutInCell="1" allowOverlap="1" wp14:anchorId="214FEFBE" wp14:editId="12AD1F7F">
                <wp:simplePos x="0" y="0"/>
                <wp:positionH relativeFrom="column">
                  <wp:posOffset>-3463290</wp:posOffset>
                </wp:positionH>
                <wp:positionV relativeFrom="paragraph">
                  <wp:posOffset>43815</wp:posOffset>
                </wp:positionV>
                <wp:extent cx="457200" cy="215265"/>
                <wp:effectExtent l="3810" t="5715"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4FD65" w14:textId="77777777" w:rsidR="00F25273" w:rsidRPr="004559D0" w:rsidRDefault="00F25273" w:rsidP="004E2234">
                            <w:pPr>
                              <w:ind w:left="0"/>
                              <w:rPr>
                                <w:rFonts w:ascii="Calibri" w:hAnsi="Calibri" w:cs="Calibri"/>
                                <w:sz w:val="16"/>
                                <w:szCs w:val="16"/>
                              </w:rPr>
                            </w:pPr>
                            <w:r>
                              <w:rPr>
                                <w:rFonts w:ascii="Calibri" w:hAnsi="Calibri" w:cs="Calibri"/>
                                <w:sz w:val="16"/>
                                <w:szCs w:val="16"/>
                              </w:rPr>
                              <w:t>Mafraq</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5" type="#_x0000_t202" style="position:absolute;left:0;text-align:left;margin-left:-272.65pt;margin-top:3.45pt;width:36pt;height:16.9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" stroked="f">
                <v:fill opacity="0"/>
                <v:textbox style="mso-fit-shape-to-text:t">
                  <w:txbxContent>
                    <w:p w14:paraId="3114FD65" w14:textId="77777777" w:rsidR="007C52EC" w:rsidRPr="004559D0" w:rsidRDefault="007C52EC" w:rsidP="004E2234">
                      <w:pPr>
                        <w:ind w:left="0"/>
                        <w:rPr>
                          <w:rFonts w:ascii="Calibri" w:hAnsi="Calibri" w:cs="Calibri"/>
                          <w:sz w:val="16"/>
                          <w:szCs w:val="16"/>
                        </w:rPr>
                      </w:pPr>
                      <w:r>
                        <w:rPr>
                          <w:rFonts w:ascii="Calibri" w:hAnsi="Calibri" w:cs="Calibri"/>
                          <w:sz w:val="16"/>
                          <w:szCs w:val="16"/>
                        </w:rPr>
                        <w:t>Mafraq</w:t>
                      </w:r>
                    </w:p>
                  </w:txbxContent>
                </v:textbox>
              </v:shape>
            </w:pict>
          </mc:Fallback>
        </mc:AlternateContent>
      </w:r>
    </w:p>
    <w:p w14:paraId="71CD6670" w14:textId="77777777" w:rsidR="00123DC5" w:rsidRPr="00903BCB" w:rsidRDefault="00123DC5" w:rsidP="007D7A82">
      <w:pPr>
        <w:spacing w:line="276" w:lineRule="auto"/>
        <w:ind w:left="0" w:right="0"/>
        <w:rPr>
          <w:sz w:val="24"/>
          <w:szCs w:val="24"/>
        </w:rPr>
      </w:pPr>
    </w:p>
    <w:p w14:paraId="6FDFD41D" w14:textId="77777777" w:rsidR="00123DC5" w:rsidRPr="00903BCB" w:rsidRDefault="00123DC5" w:rsidP="007D7A82">
      <w:pPr>
        <w:spacing w:line="276" w:lineRule="auto"/>
        <w:ind w:left="0" w:right="0"/>
        <w:rPr>
          <w:sz w:val="24"/>
          <w:szCs w:val="24"/>
        </w:rPr>
      </w:pPr>
    </w:p>
    <w:p w14:paraId="78D95F6F" w14:textId="77777777" w:rsidR="00123DC5" w:rsidRPr="00903BCB" w:rsidRDefault="003368CB" w:rsidP="007D7A82">
      <w:pPr>
        <w:spacing w:line="276" w:lineRule="auto"/>
        <w:ind w:left="0" w:right="0"/>
        <w:rPr>
          <w:sz w:val="24"/>
          <w:szCs w:val="24"/>
        </w:rPr>
      </w:pPr>
      <w:r w:rsidRPr="00903BCB">
        <w:rPr>
          <w:noProof/>
          <w:sz w:val="24"/>
          <w:szCs w:val="24"/>
        </w:rPr>
        <mc:AlternateContent>
          <mc:Choice Requires="wps">
            <w:drawing>
              <wp:anchor distT="0" distB="0" distL="114300" distR="114300" simplePos="0" relativeHeight="251661824" behindDoc="0" locked="0" layoutInCell="1" allowOverlap="1" wp14:anchorId="169E0BF4" wp14:editId="2B9D2452">
                <wp:simplePos x="0" y="0"/>
                <wp:positionH relativeFrom="column">
                  <wp:posOffset>-2641600</wp:posOffset>
                </wp:positionH>
                <wp:positionV relativeFrom="paragraph">
                  <wp:posOffset>92922</wp:posOffset>
                </wp:positionV>
                <wp:extent cx="457200" cy="215265"/>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73451" w14:textId="77777777" w:rsidR="00F25273" w:rsidRPr="004559D0" w:rsidRDefault="00F25273" w:rsidP="004E2234">
                            <w:pPr>
                              <w:ind w:left="0"/>
                              <w:rPr>
                                <w:rFonts w:ascii="Calibri" w:hAnsi="Calibri" w:cs="Calibri"/>
                                <w:sz w:val="16"/>
                                <w:szCs w:val="16"/>
                              </w:rPr>
                            </w:pPr>
                            <w:r>
                              <w:rPr>
                                <w:rFonts w:ascii="Calibri" w:hAnsi="Calibri" w:cs="Calibri"/>
                                <w:sz w:val="16"/>
                                <w:szCs w:val="16"/>
                              </w:rPr>
                              <w:t>Irbid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5" type="#_x0000_t202" style="position:absolute;left:0;text-align:left;margin-left:-207.95pt;margin-top:7.3pt;width:36pt;height:16.9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" stroked="f">
                <v:fill opacity="0"/>
                <v:textbox style="mso-fit-shape-to-text:t">
                  <w:txbxContent>
                    <w:p w14:paraId="62C73451" w14:textId="77777777" w:rsidR="00F25273" w:rsidRPr="004559D0" w:rsidRDefault="00F25273" w:rsidP="004E2234">
                      <w:pPr>
                        <w:ind w:left="0"/>
                        <w:rPr>
                          <w:rFonts w:ascii="Calibri" w:hAnsi="Calibri" w:cs="Calibri"/>
                          <w:sz w:val="16"/>
                          <w:szCs w:val="16"/>
                        </w:rPr>
                      </w:pPr>
                      <w:r>
                        <w:rPr>
                          <w:rFonts w:ascii="Calibri" w:hAnsi="Calibri" w:cs="Calibri"/>
                          <w:sz w:val="16"/>
                          <w:szCs w:val="16"/>
                        </w:rPr>
                        <w:t>Irbid</w:t>
                      </w:r>
                    </w:p>
                  </w:txbxContent>
                </v:textbox>
              </v:shape>
            </w:pict>
          </mc:Fallback>
        </mc:AlternateContent>
      </w:r>
    </w:p>
    <w:p w14:paraId="462F0BC0" w14:textId="77777777" w:rsidR="00123DC5" w:rsidRPr="00903BCB" w:rsidRDefault="00123DC5" w:rsidP="007D7A82">
      <w:pPr>
        <w:spacing w:line="276" w:lineRule="auto"/>
        <w:ind w:left="0" w:right="0"/>
        <w:rPr>
          <w:sz w:val="24"/>
          <w:szCs w:val="24"/>
        </w:rPr>
      </w:pPr>
    </w:p>
    <w:p w14:paraId="15E2AA48" w14:textId="77777777" w:rsidR="00123DC5" w:rsidRPr="00903BCB" w:rsidRDefault="00123DC5" w:rsidP="007D7A82">
      <w:pPr>
        <w:spacing w:line="276" w:lineRule="auto"/>
        <w:ind w:left="0" w:right="0"/>
        <w:rPr>
          <w:sz w:val="24"/>
          <w:szCs w:val="24"/>
        </w:rPr>
      </w:pPr>
    </w:p>
    <w:p w14:paraId="33AB445B" w14:textId="77777777" w:rsidR="00123DC5" w:rsidRPr="00903BCB" w:rsidRDefault="00123DC5" w:rsidP="007D7A82">
      <w:pPr>
        <w:spacing w:line="276" w:lineRule="auto"/>
        <w:ind w:left="0" w:right="0"/>
        <w:rPr>
          <w:sz w:val="24"/>
          <w:szCs w:val="24"/>
        </w:rPr>
      </w:pPr>
    </w:p>
    <w:p w14:paraId="4C6A1360" w14:textId="77777777" w:rsidR="00123DC5" w:rsidRPr="00903BCB" w:rsidRDefault="00123DC5" w:rsidP="007D7A82">
      <w:pPr>
        <w:spacing w:line="276" w:lineRule="auto"/>
        <w:ind w:left="0" w:right="0"/>
        <w:rPr>
          <w:sz w:val="24"/>
          <w:szCs w:val="24"/>
        </w:rPr>
      </w:pPr>
    </w:p>
    <w:p w14:paraId="1C762C2F" w14:textId="77777777" w:rsidR="00123DC5" w:rsidRPr="00903BCB" w:rsidRDefault="00123DC5" w:rsidP="007D7A82">
      <w:pPr>
        <w:spacing w:line="276" w:lineRule="auto"/>
        <w:ind w:left="0" w:right="0"/>
        <w:rPr>
          <w:sz w:val="24"/>
          <w:szCs w:val="24"/>
        </w:rPr>
      </w:pPr>
    </w:p>
    <w:p w14:paraId="1172C73D" w14:textId="77777777" w:rsidR="00A82985" w:rsidRDefault="00A82985" w:rsidP="008067C2">
      <w:pPr>
        <w:spacing w:line="360" w:lineRule="auto"/>
        <w:ind w:left="0" w:right="0"/>
        <w:rPr>
          <w:sz w:val="24"/>
          <w:szCs w:val="24"/>
        </w:rPr>
      </w:pPr>
    </w:p>
    <w:p w14:paraId="4C927034" w14:textId="165C7D34" w:rsidR="006D623C" w:rsidRPr="00903BCB" w:rsidRDefault="00076FAB" w:rsidP="008067C2">
      <w:pPr>
        <w:spacing w:line="360" w:lineRule="auto"/>
        <w:ind w:left="0" w:right="0"/>
        <w:rPr>
          <w:sz w:val="24"/>
          <w:szCs w:val="24"/>
        </w:rPr>
      </w:pPr>
      <w:r w:rsidRPr="00903BCB">
        <w:rPr>
          <w:sz w:val="24"/>
          <w:szCs w:val="24"/>
        </w:rPr>
        <w:t xml:space="preserve">The same linear model was built for </w:t>
      </w:r>
      <w:r w:rsidR="00623945" w:rsidRPr="00903BCB">
        <w:rPr>
          <w:sz w:val="24"/>
          <w:szCs w:val="24"/>
        </w:rPr>
        <w:t>2009</w:t>
      </w:r>
      <w:r w:rsidRPr="00903BCB">
        <w:rPr>
          <w:sz w:val="24"/>
          <w:szCs w:val="24"/>
        </w:rPr>
        <w:t xml:space="preserve"> and 2010 independently. </w:t>
      </w:r>
      <w:r w:rsidR="006E7A81" w:rsidRPr="00903BCB">
        <w:rPr>
          <w:sz w:val="24"/>
          <w:szCs w:val="24"/>
        </w:rPr>
        <w:t>While for</w:t>
      </w:r>
      <w:r w:rsidRPr="00903BCB">
        <w:rPr>
          <w:sz w:val="24"/>
          <w:szCs w:val="24"/>
        </w:rPr>
        <w:t xml:space="preserve"> 2009 none of the five criteria w</w:t>
      </w:r>
      <w:r w:rsidR="006D623C" w:rsidRPr="00903BCB">
        <w:rPr>
          <w:sz w:val="24"/>
          <w:szCs w:val="24"/>
        </w:rPr>
        <w:t>as found</w:t>
      </w:r>
      <w:r w:rsidRPr="00903BCB">
        <w:rPr>
          <w:sz w:val="24"/>
          <w:szCs w:val="24"/>
        </w:rPr>
        <w:t xml:space="preserve"> statistically significa</w:t>
      </w:r>
      <w:r w:rsidR="006D623C" w:rsidRPr="00903BCB">
        <w:rPr>
          <w:sz w:val="24"/>
          <w:szCs w:val="24"/>
        </w:rPr>
        <w:t xml:space="preserve">nt, in </w:t>
      </w:r>
      <w:r w:rsidR="00623945" w:rsidRPr="00903BCB">
        <w:rPr>
          <w:sz w:val="24"/>
          <w:szCs w:val="24"/>
        </w:rPr>
        <w:t>2010</w:t>
      </w:r>
      <w:r w:rsidR="006E7A81" w:rsidRPr="00903BCB">
        <w:rPr>
          <w:sz w:val="24"/>
          <w:szCs w:val="24"/>
        </w:rPr>
        <w:t>,</w:t>
      </w:r>
      <w:r w:rsidR="00391329" w:rsidRPr="00903BCB">
        <w:rPr>
          <w:sz w:val="24"/>
          <w:szCs w:val="24"/>
        </w:rPr>
        <w:t xml:space="preserve"> population</w:t>
      </w:r>
      <w:r w:rsidR="006D623C" w:rsidRPr="00903BCB">
        <w:rPr>
          <w:sz w:val="24"/>
          <w:szCs w:val="24"/>
        </w:rPr>
        <w:t xml:space="preserve"> was a statistically significant transfer </w:t>
      </w:r>
      <w:r w:rsidR="00244FCF" w:rsidRPr="00903BCB">
        <w:rPr>
          <w:sz w:val="24"/>
          <w:szCs w:val="24"/>
        </w:rPr>
        <w:t>criterion</w:t>
      </w:r>
      <w:r w:rsidR="006D623C" w:rsidRPr="00903BCB">
        <w:rPr>
          <w:sz w:val="24"/>
          <w:szCs w:val="24"/>
        </w:rPr>
        <w:t>. In combination with the result</w:t>
      </w:r>
      <w:r w:rsidR="00244FCF" w:rsidRPr="00903BCB">
        <w:rPr>
          <w:sz w:val="24"/>
          <w:szCs w:val="24"/>
        </w:rPr>
        <w:t xml:space="preserve">s for 2011 these results </w:t>
      </w:r>
      <w:r w:rsidR="006D623C" w:rsidRPr="00903BCB">
        <w:rPr>
          <w:sz w:val="24"/>
          <w:szCs w:val="24"/>
        </w:rPr>
        <w:t xml:space="preserve">suggest an increasing </w:t>
      </w:r>
      <w:r w:rsidR="00382DE6" w:rsidRPr="00903BCB">
        <w:rPr>
          <w:sz w:val="24"/>
          <w:szCs w:val="24"/>
        </w:rPr>
        <w:t xml:space="preserve">need </w:t>
      </w:r>
      <w:r w:rsidR="006D623C" w:rsidRPr="00903BCB">
        <w:rPr>
          <w:sz w:val="24"/>
          <w:szCs w:val="24"/>
        </w:rPr>
        <w:t>to use objective criteria in intergovernmental transfers.</w:t>
      </w:r>
    </w:p>
    <w:p w14:paraId="28E74D3D" w14:textId="77777777" w:rsidR="006D623C" w:rsidRPr="00903BCB" w:rsidRDefault="006D623C" w:rsidP="008067C2">
      <w:pPr>
        <w:spacing w:line="360" w:lineRule="auto"/>
        <w:ind w:left="0" w:right="0"/>
        <w:rPr>
          <w:sz w:val="24"/>
          <w:szCs w:val="24"/>
        </w:rPr>
      </w:pPr>
    </w:p>
    <w:p w14:paraId="4C8AE88A" w14:textId="3F2910C1" w:rsidR="006D623C" w:rsidRPr="00903BCB" w:rsidRDefault="00391329" w:rsidP="008067C2">
      <w:pPr>
        <w:spacing w:line="360" w:lineRule="auto"/>
        <w:ind w:left="0" w:right="0"/>
        <w:rPr>
          <w:sz w:val="24"/>
          <w:szCs w:val="24"/>
        </w:rPr>
      </w:pPr>
      <w:r w:rsidRPr="00903BCB">
        <w:rPr>
          <w:sz w:val="24"/>
          <w:szCs w:val="24"/>
        </w:rPr>
        <w:t>In summary, population and area</w:t>
      </w:r>
      <w:r w:rsidR="00FE3A05" w:rsidRPr="00903BCB">
        <w:rPr>
          <w:sz w:val="24"/>
          <w:szCs w:val="24"/>
        </w:rPr>
        <w:t xml:space="preserve"> </w:t>
      </w:r>
      <w:r w:rsidR="006D623C" w:rsidRPr="00903BCB">
        <w:rPr>
          <w:sz w:val="24"/>
          <w:szCs w:val="24"/>
        </w:rPr>
        <w:t>were</w:t>
      </w:r>
      <w:r w:rsidR="00257E8C" w:rsidRPr="00903BCB">
        <w:rPr>
          <w:sz w:val="24"/>
          <w:szCs w:val="24"/>
        </w:rPr>
        <w:t xml:space="preserve"> the two most important criteria </w:t>
      </w:r>
      <w:r w:rsidR="00CD12DA" w:rsidRPr="00903BCB">
        <w:rPr>
          <w:sz w:val="24"/>
          <w:szCs w:val="24"/>
        </w:rPr>
        <w:t>used by</w:t>
      </w:r>
      <w:r w:rsidR="00257E8C" w:rsidRPr="00903BCB">
        <w:rPr>
          <w:sz w:val="24"/>
          <w:szCs w:val="24"/>
        </w:rPr>
        <w:t xml:space="preserve"> decision</w:t>
      </w:r>
      <w:r w:rsidR="004B5DE5" w:rsidRPr="00903BCB">
        <w:rPr>
          <w:sz w:val="24"/>
          <w:szCs w:val="24"/>
        </w:rPr>
        <w:t>-</w:t>
      </w:r>
      <w:r w:rsidR="00257E8C" w:rsidRPr="00903BCB">
        <w:rPr>
          <w:sz w:val="24"/>
          <w:szCs w:val="24"/>
        </w:rPr>
        <w:t xml:space="preserve">makers </w:t>
      </w:r>
      <w:r w:rsidR="00CD12DA" w:rsidRPr="00903BCB">
        <w:rPr>
          <w:sz w:val="24"/>
          <w:szCs w:val="24"/>
        </w:rPr>
        <w:t>to allocate funds</w:t>
      </w:r>
      <w:r w:rsidR="004B5DE5" w:rsidRPr="00903BCB">
        <w:rPr>
          <w:sz w:val="24"/>
          <w:szCs w:val="24"/>
        </w:rPr>
        <w:t>,</w:t>
      </w:r>
      <w:r w:rsidR="00CD12DA" w:rsidRPr="00903BCB">
        <w:rPr>
          <w:sz w:val="24"/>
          <w:szCs w:val="24"/>
        </w:rPr>
        <w:t xml:space="preserve"> </w:t>
      </w:r>
      <w:r w:rsidR="00257E8C" w:rsidRPr="00903BCB">
        <w:rPr>
          <w:sz w:val="24"/>
          <w:szCs w:val="24"/>
        </w:rPr>
        <w:t xml:space="preserve">and alone they </w:t>
      </w:r>
      <w:r w:rsidR="00FE3A05" w:rsidRPr="00903BCB">
        <w:rPr>
          <w:sz w:val="24"/>
          <w:szCs w:val="24"/>
        </w:rPr>
        <w:t>explain most of the amounts transferred to governorates</w:t>
      </w:r>
      <w:r w:rsidR="006D623C" w:rsidRPr="00903BCB">
        <w:rPr>
          <w:sz w:val="24"/>
          <w:szCs w:val="24"/>
        </w:rPr>
        <w:t xml:space="preserve"> in 2011</w:t>
      </w:r>
      <w:r w:rsidR="00FE3A05" w:rsidRPr="00903BCB">
        <w:rPr>
          <w:sz w:val="24"/>
          <w:szCs w:val="24"/>
        </w:rPr>
        <w:t xml:space="preserve">. However, there </w:t>
      </w:r>
      <w:r w:rsidR="00CD12DA" w:rsidRPr="00903BCB">
        <w:rPr>
          <w:sz w:val="24"/>
          <w:szCs w:val="24"/>
        </w:rPr>
        <w:t>are</w:t>
      </w:r>
      <w:r w:rsidR="00FE3A05" w:rsidRPr="00903BCB">
        <w:rPr>
          <w:sz w:val="24"/>
          <w:szCs w:val="24"/>
        </w:rPr>
        <w:t xml:space="preserve"> still 7% of the total </w:t>
      </w:r>
      <w:r w:rsidR="00257E8C" w:rsidRPr="00903BCB">
        <w:rPr>
          <w:sz w:val="24"/>
          <w:szCs w:val="24"/>
        </w:rPr>
        <w:t xml:space="preserve">amounts </w:t>
      </w:r>
      <w:r w:rsidR="00FE3A05" w:rsidRPr="00903BCB">
        <w:rPr>
          <w:sz w:val="24"/>
          <w:szCs w:val="24"/>
        </w:rPr>
        <w:t xml:space="preserve">transferred that cannot be </w:t>
      </w:r>
      <w:r w:rsidR="00681E9A" w:rsidRPr="00903BCB">
        <w:rPr>
          <w:sz w:val="24"/>
          <w:szCs w:val="24"/>
        </w:rPr>
        <w:t>explained by any of the parameters discussed so</w:t>
      </w:r>
      <w:r w:rsidR="00FE3A05" w:rsidRPr="00903BCB">
        <w:rPr>
          <w:sz w:val="24"/>
          <w:szCs w:val="24"/>
        </w:rPr>
        <w:t xml:space="preserve"> far.</w:t>
      </w:r>
      <w:r w:rsidR="00C612CB" w:rsidRPr="00903BCB">
        <w:rPr>
          <w:sz w:val="24"/>
          <w:szCs w:val="24"/>
        </w:rPr>
        <w:t xml:space="preserve"> The next section </w:t>
      </w:r>
      <w:r w:rsidR="00681E9A" w:rsidRPr="00903BCB">
        <w:rPr>
          <w:sz w:val="24"/>
          <w:szCs w:val="24"/>
        </w:rPr>
        <w:t>offers a discussion o</w:t>
      </w:r>
      <w:r w:rsidR="00C46F03" w:rsidRPr="00903BCB">
        <w:rPr>
          <w:sz w:val="24"/>
          <w:szCs w:val="24"/>
        </w:rPr>
        <w:t>f</w:t>
      </w:r>
      <w:r w:rsidR="00681E9A" w:rsidRPr="00903BCB">
        <w:rPr>
          <w:sz w:val="24"/>
          <w:szCs w:val="24"/>
        </w:rPr>
        <w:t xml:space="preserve"> the policy implications </w:t>
      </w:r>
      <w:r w:rsidR="004A0B89" w:rsidRPr="00903BCB">
        <w:rPr>
          <w:sz w:val="24"/>
          <w:szCs w:val="24"/>
        </w:rPr>
        <w:t xml:space="preserve">for intergovernmental transfers of adopting combinations of parameters and/or coefficients </w:t>
      </w:r>
      <w:r w:rsidR="004B5DE5" w:rsidRPr="00903BCB">
        <w:rPr>
          <w:sz w:val="24"/>
          <w:szCs w:val="24"/>
        </w:rPr>
        <w:t>that</w:t>
      </w:r>
      <w:r w:rsidR="004A0B89" w:rsidRPr="00903BCB">
        <w:rPr>
          <w:sz w:val="24"/>
          <w:szCs w:val="24"/>
        </w:rPr>
        <w:t xml:space="preserve"> deviate from the modeled (current) government behavior. </w:t>
      </w:r>
      <w:r w:rsidR="00681E9A" w:rsidRPr="00903BCB">
        <w:rPr>
          <w:sz w:val="24"/>
          <w:szCs w:val="24"/>
        </w:rPr>
        <w:t>The parameter</w:t>
      </w:r>
      <w:r w:rsidR="006508D4" w:rsidRPr="00903BCB">
        <w:rPr>
          <w:sz w:val="24"/>
          <w:szCs w:val="24"/>
        </w:rPr>
        <w:t xml:space="preserve"> </w:t>
      </w:r>
      <w:r w:rsidR="00C46F03" w:rsidRPr="00903BCB">
        <w:rPr>
          <w:sz w:val="24"/>
          <w:szCs w:val="24"/>
        </w:rPr>
        <w:t xml:space="preserve">of </w:t>
      </w:r>
      <w:r w:rsidR="006508D4" w:rsidRPr="00903BCB">
        <w:rPr>
          <w:sz w:val="24"/>
          <w:szCs w:val="24"/>
        </w:rPr>
        <w:t>density will be excluded from further analysis</w:t>
      </w:r>
      <w:r w:rsidR="004B5DE5" w:rsidRPr="00903BCB">
        <w:rPr>
          <w:sz w:val="24"/>
          <w:szCs w:val="24"/>
        </w:rPr>
        <w:t>,</w:t>
      </w:r>
      <w:r w:rsidR="006508D4" w:rsidRPr="00903BCB">
        <w:rPr>
          <w:sz w:val="24"/>
          <w:szCs w:val="24"/>
        </w:rPr>
        <w:t xml:space="preserve"> given the statistical redundancy with the joint effect of population and area. </w:t>
      </w:r>
      <w:r w:rsidR="00BC1B42" w:rsidRPr="00903BCB">
        <w:rPr>
          <w:sz w:val="24"/>
          <w:szCs w:val="24"/>
        </w:rPr>
        <w:t xml:space="preserve"> </w:t>
      </w:r>
    </w:p>
    <w:p w14:paraId="674766E8" w14:textId="77777777" w:rsidR="00EB24EC" w:rsidRPr="00903BCB" w:rsidRDefault="00EB24EC" w:rsidP="008067C2">
      <w:pPr>
        <w:spacing w:line="360" w:lineRule="auto"/>
        <w:ind w:left="0" w:right="0"/>
        <w:rPr>
          <w:sz w:val="24"/>
          <w:szCs w:val="24"/>
        </w:rPr>
      </w:pPr>
    </w:p>
    <w:p w14:paraId="2D35A6FA" w14:textId="5BECB9C0" w:rsidR="006D2FB9" w:rsidRPr="00903BCB" w:rsidRDefault="003C76C9" w:rsidP="008067C2">
      <w:pPr>
        <w:spacing w:line="360" w:lineRule="auto"/>
        <w:ind w:left="0" w:right="0"/>
        <w:rPr>
          <w:b/>
          <w:sz w:val="24"/>
          <w:szCs w:val="24"/>
        </w:rPr>
      </w:pPr>
      <w:r w:rsidRPr="00903BCB">
        <w:rPr>
          <w:b/>
          <w:sz w:val="24"/>
          <w:szCs w:val="24"/>
        </w:rPr>
        <w:t>6</w:t>
      </w:r>
      <w:r w:rsidR="00244FCF" w:rsidRPr="00903BCB">
        <w:rPr>
          <w:b/>
          <w:sz w:val="24"/>
          <w:szCs w:val="24"/>
        </w:rPr>
        <w:t>. Policy Implications and Recommendations</w:t>
      </w:r>
      <w:r w:rsidR="00401445" w:rsidRPr="00903BCB">
        <w:rPr>
          <w:b/>
          <w:sz w:val="24"/>
          <w:szCs w:val="24"/>
        </w:rPr>
        <w:t xml:space="preserve">: </w:t>
      </w:r>
      <w:r w:rsidR="004B5DE5" w:rsidRPr="00903BCB">
        <w:rPr>
          <w:b/>
          <w:sz w:val="24"/>
          <w:szCs w:val="24"/>
        </w:rPr>
        <w:t>A</w:t>
      </w:r>
      <w:r w:rsidR="00401445" w:rsidRPr="00903BCB">
        <w:rPr>
          <w:b/>
          <w:sz w:val="24"/>
          <w:szCs w:val="24"/>
        </w:rPr>
        <w:t xml:space="preserve">n </w:t>
      </w:r>
      <w:r w:rsidR="004B5DE5" w:rsidRPr="00903BCB">
        <w:rPr>
          <w:b/>
          <w:sz w:val="24"/>
          <w:szCs w:val="24"/>
        </w:rPr>
        <w:t>E</w:t>
      </w:r>
      <w:r w:rsidR="00401445" w:rsidRPr="00903BCB">
        <w:rPr>
          <w:b/>
          <w:sz w:val="24"/>
          <w:szCs w:val="24"/>
        </w:rPr>
        <w:t xml:space="preserve">xploratory </w:t>
      </w:r>
      <w:r w:rsidR="004B5DE5" w:rsidRPr="00903BCB">
        <w:rPr>
          <w:b/>
          <w:sz w:val="24"/>
          <w:szCs w:val="24"/>
        </w:rPr>
        <w:t>D</w:t>
      </w:r>
      <w:r w:rsidR="00401445" w:rsidRPr="00903BCB">
        <w:rPr>
          <w:b/>
          <w:sz w:val="24"/>
          <w:szCs w:val="24"/>
        </w:rPr>
        <w:t xml:space="preserve">iscussion of </w:t>
      </w:r>
      <w:r w:rsidR="004B5DE5" w:rsidRPr="00903BCB">
        <w:rPr>
          <w:b/>
          <w:sz w:val="24"/>
          <w:szCs w:val="24"/>
        </w:rPr>
        <w:t>T</w:t>
      </w:r>
      <w:r w:rsidR="00401445" w:rsidRPr="00903BCB">
        <w:rPr>
          <w:b/>
          <w:sz w:val="24"/>
          <w:szCs w:val="24"/>
        </w:rPr>
        <w:t>rade-</w:t>
      </w:r>
      <w:r w:rsidR="004B5DE5" w:rsidRPr="00903BCB">
        <w:rPr>
          <w:b/>
          <w:sz w:val="24"/>
          <w:szCs w:val="24"/>
        </w:rPr>
        <w:t>O</w:t>
      </w:r>
      <w:r w:rsidR="00401445" w:rsidRPr="00903BCB">
        <w:rPr>
          <w:b/>
          <w:sz w:val="24"/>
          <w:szCs w:val="24"/>
        </w:rPr>
        <w:t>ffs</w:t>
      </w:r>
    </w:p>
    <w:p w14:paraId="7E539776" w14:textId="7DF7E7CB" w:rsidR="006D2FB9" w:rsidRPr="00903BCB" w:rsidRDefault="005119E1" w:rsidP="008067C2">
      <w:pPr>
        <w:spacing w:line="360" w:lineRule="auto"/>
        <w:ind w:left="0" w:right="0"/>
        <w:rPr>
          <w:sz w:val="24"/>
          <w:szCs w:val="24"/>
        </w:rPr>
      </w:pPr>
      <w:r w:rsidRPr="00903BCB">
        <w:rPr>
          <w:sz w:val="24"/>
          <w:szCs w:val="24"/>
        </w:rPr>
        <w:t xml:space="preserve">The </w:t>
      </w:r>
      <w:r w:rsidR="00EE42BD" w:rsidRPr="00903BCB">
        <w:rPr>
          <w:sz w:val="24"/>
          <w:szCs w:val="24"/>
        </w:rPr>
        <w:t xml:space="preserve">previous section used </w:t>
      </w:r>
      <w:r w:rsidR="00E041BB" w:rsidRPr="00903BCB">
        <w:rPr>
          <w:sz w:val="24"/>
          <w:szCs w:val="24"/>
        </w:rPr>
        <w:t xml:space="preserve">different </w:t>
      </w:r>
      <w:r w:rsidR="00EE42BD" w:rsidRPr="00903BCB">
        <w:rPr>
          <w:sz w:val="24"/>
          <w:szCs w:val="24"/>
        </w:rPr>
        <w:t xml:space="preserve">international </w:t>
      </w:r>
      <w:r w:rsidR="00176AD8" w:rsidRPr="00903BCB">
        <w:rPr>
          <w:sz w:val="24"/>
          <w:szCs w:val="24"/>
        </w:rPr>
        <w:t xml:space="preserve">transfer </w:t>
      </w:r>
      <w:r w:rsidR="00E041BB" w:rsidRPr="00903BCB">
        <w:rPr>
          <w:sz w:val="24"/>
          <w:szCs w:val="24"/>
        </w:rPr>
        <w:t xml:space="preserve">formula parameters </w:t>
      </w:r>
      <w:r w:rsidR="00EE42BD" w:rsidRPr="00903BCB">
        <w:rPr>
          <w:sz w:val="24"/>
          <w:szCs w:val="24"/>
        </w:rPr>
        <w:t xml:space="preserve">to </w:t>
      </w:r>
      <w:r w:rsidR="00176AD8" w:rsidRPr="00903BCB">
        <w:rPr>
          <w:sz w:val="24"/>
          <w:szCs w:val="24"/>
        </w:rPr>
        <w:t xml:space="preserve">determine </w:t>
      </w:r>
      <w:r w:rsidR="00EE42BD" w:rsidRPr="00903BCB">
        <w:rPr>
          <w:sz w:val="24"/>
          <w:szCs w:val="24"/>
        </w:rPr>
        <w:t xml:space="preserve">relevant parameters for Jordan. </w:t>
      </w:r>
      <w:r w:rsidR="00FC294B" w:rsidRPr="00903BCB">
        <w:rPr>
          <w:sz w:val="24"/>
          <w:szCs w:val="24"/>
        </w:rPr>
        <w:t>I</w:t>
      </w:r>
      <w:r w:rsidR="00EE42BD" w:rsidRPr="00903BCB">
        <w:rPr>
          <w:sz w:val="24"/>
          <w:szCs w:val="24"/>
        </w:rPr>
        <w:t>t</w:t>
      </w:r>
      <w:r w:rsidR="00FC294B" w:rsidRPr="00903BCB">
        <w:rPr>
          <w:sz w:val="24"/>
          <w:szCs w:val="24"/>
        </w:rPr>
        <w:t xml:space="preserve"> then</w:t>
      </w:r>
      <w:r w:rsidR="00EE42BD" w:rsidRPr="00903BCB">
        <w:rPr>
          <w:sz w:val="24"/>
          <w:szCs w:val="24"/>
        </w:rPr>
        <w:t xml:space="preserve"> calibrated a </w:t>
      </w:r>
      <w:r w:rsidR="001C1CE4" w:rsidRPr="00903BCB">
        <w:rPr>
          <w:sz w:val="24"/>
          <w:szCs w:val="24"/>
        </w:rPr>
        <w:t xml:space="preserve">statistical </w:t>
      </w:r>
      <w:r w:rsidR="00EE42BD" w:rsidRPr="00903BCB">
        <w:rPr>
          <w:sz w:val="24"/>
          <w:szCs w:val="24"/>
        </w:rPr>
        <w:t xml:space="preserve">model using the </w:t>
      </w:r>
      <w:r w:rsidR="001C1CE4" w:rsidRPr="00903BCB">
        <w:rPr>
          <w:sz w:val="24"/>
          <w:szCs w:val="24"/>
        </w:rPr>
        <w:t>selected parameters to</w:t>
      </w:r>
      <w:r w:rsidR="00EE42BD" w:rsidRPr="00903BCB">
        <w:rPr>
          <w:sz w:val="24"/>
          <w:szCs w:val="24"/>
        </w:rPr>
        <w:t xml:space="preserve"> uncover </w:t>
      </w:r>
      <w:r w:rsidR="001C1CE4" w:rsidRPr="00903BCB">
        <w:rPr>
          <w:sz w:val="24"/>
          <w:szCs w:val="24"/>
        </w:rPr>
        <w:t>historical “rules” of transfer policy followed by Jordanian central authorities</w:t>
      </w:r>
      <w:r w:rsidR="00973DE7" w:rsidRPr="00903BCB">
        <w:rPr>
          <w:sz w:val="24"/>
          <w:szCs w:val="24"/>
        </w:rPr>
        <w:t>,</w:t>
      </w:r>
      <w:r w:rsidR="0097525F" w:rsidRPr="00903BCB">
        <w:rPr>
          <w:sz w:val="24"/>
          <w:szCs w:val="24"/>
        </w:rPr>
        <w:t xml:space="preserve"> </w:t>
      </w:r>
      <w:r w:rsidR="00E04B7C" w:rsidRPr="00903BCB">
        <w:rPr>
          <w:sz w:val="24"/>
          <w:szCs w:val="24"/>
        </w:rPr>
        <w:t>which</w:t>
      </w:r>
      <w:r w:rsidR="006024D3" w:rsidRPr="00903BCB">
        <w:rPr>
          <w:sz w:val="24"/>
          <w:szCs w:val="24"/>
        </w:rPr>
        <w:t xml:space="preserve"> have been ambiguous and unclear.</w:t>
      </w:r>
      <w:r w:rsidR="001C1CE4" w:rsidRPr="00903BCB">
        <w:rPr>
          <w:sz w:val="24"/>
          <w:szCs w:val="24"/>
        </w:rPr>
        <w:t xml:space="preserve"> </w:t>
      </w:r>
      <w:r w:rsidR="006F7AC0" w:rsidRPr="00903BCB">
        <w:rPr>
          <w:sz w:val="24"/>
          <w:szCs w:val="24"/>
        </w:rPr>
        <w:t xml:space="preserve">These “rules” are </w:t>
      </w:r>
      <w:r w:rsidR="003D5B2C" w:rsidRPr="00903BCB">
        <w:rPr>
          <w:sz w:val="24"/>
          <w:szCs w:val="24"/>
        </w:rPr>
        <w:t>uncovered</w:t>
      </w:r>
      <w:r w:rsidR="00307C54" w:rsidRPr="00903BCB">
        <w:rPr>
          <w:sz w:val="24"/>
          <w:szCs w:val="24"/>
        </w:rPr>
        <w:t xml:space="preserve"> </w:t>
      </w:r>
      <w:r w:rsidR="006F7AC0" w:rsidRPr="00903BCB">
        <w:rPr>
          <w:sz w:val="24"/>
          <w:szCs w:val="24"/>
        </w:rPr>
        <w:t xml:space="preserve">by the </w:t>
      </w:r>
      <w:r w:rsidR="00176AD8" w:rsidRPr="00903BCB">
        <w:rPr>
          <w:sz w:val="24"/>
          <w:szCs w:val="24"/>
        </w:rPr>
        <w:t xml:space="preserve">estimated </w:t>
      </w:r>
      <w:r w:rsidR="0097525F" w:rsidRPr="00903BCB">
        <w:rPr>
          <w:sz w:val="24"/>
          <w:szCs w:val="24"/>
        </w:rPr>
        <w:t>coefficients</w:t>
      </w:r>
      <w:r w:rsidR="00176AD8" w:rsidRPr="00903BCB">
        <w:rPr>
          <w:sz w:val="24"/>
          <w:szCs w:val="24"/>
        </w:rPr>
        <w:t xml:space="preserve"> and </w:t>
      </w:r>
      <w:r w:rsidR="0097525F" w:rsidRPr="00903BCB">
        <w:rPr>
          <w:sz w:val="24"/>
          <w:szCs w:val="24"/>
        </w:rPr>
        <w:t xml:space="preserve">can be </w:t>
      </w:r>
      <w:r w:rsidR="00176AD8" w:rsidRPr="00903BCB">
        <w:rPr>
          <w:sz w:val="24"/>
          <w:szCs w:val="24"/>
        </w:rPr>
        <w:t xml:space="preserve">understood </w:t>
      </w:r>
      <w:r w:rsidR="0097525F" w:rsidRPr="00903BCB">
        <w:rPr>
          <w:sz w:val="24"/>
          <w:szCs w:val="24"/>
        </w:rPr>
        <w:t>as current policy preferences</w:t>
      </w:r>
      <w:r w:rsidR="009E3D34" w:rsidRPr="00903BCB">
        <w:rPr>
          <w:sz w:val="24"/>
          <w:szCs w:val="24"/>
        </w:rPr>
        <w:t xml:space="preserve"> regarding monetary transfers to each </w:t>
      </w:r>
      <w:r w:rsidR="00E04B7C" w:rsidRPr="00903BCB">
        <w:rPr>
          <w:sz w:val="24"/>
          <w:szCs w:val="24"/>
        </w:rPr>
        <w:t>g</w:t>
      </w:r>
      <w:r w:rsidR="009E3D34" w:rsidRPr="00903BCB">
        <w:rPr>
          <w:sz w:val="24"/>
          <w:szCs w:val="24"/>
        </w:rPr>
        <w:t>overnorate</w:t>
      </w:r>
      <w:r w:rsidR="0097525F" w:rsidRPr="00903BCB">
        <w:rPr>
          <w:sz w:val="24"/>
          <w:szCs w:val="24"/>
        </w:rPr>
        <w:t xml:space="preserve">. </w:t>
      </w:r>
      <w:r w:rsidR="00FC294B" w:rsidRPr="00903BCB">
        <w:rPr>
          <w:sz w:val="24"/>
          <w:szCs w:val="24"/>
        </w:rPr>
        <w:t>Finally</w:t>
      </w:r>
      <w:r w:rsidR="0097525F" w:rsidRPr="00903BCB">
        <w:rPr>
          <w:sz w:val="24"/>
          <w:szCs w:val="24"/>
        </w:rPr>
        <w:t xml:space="preserve">, the estimated coefficients set </w:t>
      </w:r>
      <w:r w:rsidRPr="00903BCB">
        <w:rPr>
          <w:sz w:val="24"/>
          <w:szCs w:val="24"/>
        </w:rPr>
        <w:t xml:space="preserve">a baseline for </w:t>
      </w:r>
      <w:r w:rsidR="00E04B7C" w:rsidRPr="00903BCB">
        <w:rPr>
          <w:sz w:val="24"/>
          <w:szCs w:val="24"/>
        </w:rPr>
        <w:t>a</w:t>
      </w:r>
      <w:r w:rsidR="00552EF6" w:rsidRPr="00903BCB">
        <w:rPr>
          <w:sz w:val="24"/>
          <w:szCs w:val="24"/>
        </w:rPr>
        <w:t xml:space="preserve"> </w:t>
      </w:r>
      <w:r w:rsidR="0097525F" w:rsidRPr="00903BCB">
        <w:rPr>
          <w:sz w:val="24"/>
          <w:szCs w:val="24"/>
        </w:rPr>
        <w:t xml:space="preserve">discussion of </w:t>
      </w:r>
      <w:r w:rsidR="009E3D34" w:rsidRPr="00903BCB">
        <w:rPr>
          <w:sz w:val="24"/>
          <w:szCs w:val="24"/>
        </w:rPr>
        <w:t xml:space="preserve">the trade-offs associated </w:t>
      </w:r>
      <w:r w:rsidR="00E04B7C" w:rsidRPr="00903BCB">
        <w:rPr>
          <w:sz w:val="24"/>
          <w:szCs w:val="24"/>
        </w:rPr>
        <w:t xml:space="preserve">with </w:t>
      </w:r>
      <w:r w:rsidR="0097525F" w:rsidRPr="00903BCB">
        <w:rPr>
          <w:sz w:val="24"/>
          <w:szCs w:val="24"/>
        </w:rPr>
        <w:t>alternative</w:t>
      </w:r>
      <w:r w:rsidR="00EE42BD" w:rsidRPr="00903BCB">
        <w:rPr>
          <w:sz w:val="24"/>
          <w:szCs w:val="24"/>
        </w:rPr>
        <w:t xml:space="preserve"> </w:t>
      </w:r>
      <w:r w:rsidR="0097525F" w:rsidRPr="00903BCB">
        <w:rPr>
          <w:sz w:val="24"/>
          <w:szCs w:val="24"/>
        </w:rPr>
        <w:t xml:space="preserve">transfer policy </w:t>
      </w:r>
      <w:r w:rsidR="001C1CE4" w:rsidRPr="00903BCB">
        <w:rPr>
          <w:sz w:val="24"/>
          <w:szCs w:val="24"/>
        </w:rPr>
        <w:t>criteria</w:t>
      </w:r>
      <w:r w:rsidR="009E3D34" w:rsidRPr="00903BCB">
        <w:rPr>
          <w:sz w:val="24"/>
          <w:szCs w:val="24"/>
        </w:rPr>
        <w:t xml:space="preserve"> </w:t>
      </w:r>
      <w:r w:rsidR="00E04B7C" w:rsidRPr="00903BCB">
        <w:rPr>
          <w:sz w:val="24"/>
          <w:szCs w:val="24"/>
        </w:rPr>
        <w:t>(</w:t>
      </w:r>
      <w:r w:rsidR="009E3D34" w:rsidRPr="00903BCB">
        <w:rPr>
          <w:sz w:val="24"/>
          <w:szCs w:val="24"/>
        </w:rPr>
        <w:t>i.e., variations of the parameters and coefficients</w:t>
      </w:r>
      <w:r w:rsidR="001C1CE4" w:rsidRPr="00903BCB">
        <w:rPr>
          <w:sz w:val="24"/>
          <w:szCs w:val="24"/>
        </w:rPr>
        <w:t xml:space="preserve"> </w:t>
      </w:r>
      <w:r w:rsidR="009E3D34" w:rsidRPr="00903BCB">
        <w:rPr>
          <w:sz w:val="24"/>
          <w:szCs w:val="24"/>
        </w:rPr>
        <w:t>used in the baseline model</w:t>
      </w:r>
      <w:r w:rsidR="00E04B7C" w:rsidRPr="00903BCB">
        <w:rPr>
          <w:sz w:val="24"/>
          <w:szCs w:val="24"/>
        </w:rPr>
        <w:t>)</w:t>
      </w:r>
      <w:r w:rsidR="009E3D34" w:rsidRPr="00903BCB">
        <w:rPr>
          <w:sz w:val="24"/>
          <w:szCs w:val="24"/>
        </w:rPr>
        <w:t>.</w:t>
      </w:r>
      <w:r w:rsidR="00007CF4" w:rsidRPr="00903BCB">
        <w:rPr>
          <w:sz w:val="24"/>
          <w:szCs w:val="24"/>
        </w:rPr>
        <w:t xml:space="preserve"> </w:t>
      </w:r>
      <w:r w:rsidRPr="00903BCB">
        <w:rPr>
          <w:sz w:val="24"/>
          <w:szCs w:val="24"/>
        </w:rPr>
        <w:t xml:space="preserve"> </w:t>
      </w:r>
    </w:p>
    <w:p w14:paraId="67E6977B" w14:textId="77777777" w:rsidR="005119E1" w:rsidRPr="00903BCB" w:rsidRDefault="005119E1" w:rsidP="008067C2">
      <w:pPr>
        <w:spacing w:line="360" w:lineRule="auto"/>
        <w:ind w:left="0" w:right="0"/>
        <w:rPr>
          <w:sz w:val="24"/>
          <w:szCs w:val="24"/>
        </w:rPr>
      </w:pPr>
    </w:p>
    <w:p w14:paraId="144E2F37" w14:textId="78816444" w:rsidR="001B7852" w:rsidRPr="00903BCB" w:rsidRDefault="005119E1" w:rsidP="008067C2">
      <w:pPr>
        <w:spacing w:line="360" w:lineRule="auto"/>
        <w:ind w:left="0" w:right="0"/>
        <w:rPr>
          <w:sz w:val="24"/>
          <w:szCs w:val="24"/>
        </w:rPr>
      </w:pPr>
      <w:r w:rsidRPr="00903BCB">
        <w:rPr>
          <w:sz w:val="24"/>
          <w:szCs w:val="24"/>
        </w:rPr>
        <w:t xml:space="preserve">The </w:t>
      </w:r>
      <w:r w:rsidR="00FC294B" w:rsidRPr="00903BCB">
        <w:rPr>
          <w:sz w:val="24"/>
          <w:szCs w:val="24"/>
        </w:rPr>
        <w:t xml:space="preserve">main </w:t>
      </w:r>
      <w:r w:rsidR="00FF4D9A" w:rsidRPr="00903BCB">
        <w:rPr>
          <w:sz w:val="24"/>
          <w:szCs w:val="24"/>
        </w:rPr>
        <w:t xml:space="preserve">methodological problem faced </w:t>
      </w:r>
      <w:r w:rsidRPr="00903BCB">
        <w:rPr>
          <w:sz w:val="24"/>
          <w:szCs w:val="24"/>
        </w:rPr>
        <w:t xml:space="preserve">is </w:t>
      </w:r>
      <w:r w:rsidR="00FF4D9A" w:rsidRPr="00903BCB">
        <w:rPr>
          <w:sz w:val="24"/>
          <w:szCs w:val="24"/>
        </w:rPr>
        <w:t>that ev</w:t>
      </w:r>
      <w:r w:rsidR="00180B35" w:rsidRPr="00903BCB">
        <w:rPr>
          <w:sz w:val="24"/>
          <w:szCs w:val="24"/>
        </w:rPr>
        <w:t>en though the relevant parameters</w:t>
      </w:r>
      <w:r w:rsidR="00FF4D9A" w:rsidRPr="00903BCB">
        <w:rPr>
          <w:sz w:val="24"/>
          <w:szCs w:val="24"/>
        </w:rPr>
        <w:t xml:space="preserve"> have been selected there</w:t>
      </w:r>
      <w:r w:rsidR="008647E1" w:rsidRPr="00903BCB">
        <w:rPr>
          <w:sz w:val="24"/>
          <w:szCs w:val="24"/>
        </w:rPr>
        <w:t xml:space="preserve"> are infinite</w:t>
      </w:r>
      <w:r w:rsidR="00973DE7" w:rsidRPr="00903BCB">
        <w:rPr>
          <w:sz w:val="24"/>
          <w:szCs w:val="24"/>
        </w:rPr>
        <w:t xml:space="preserve"> – </w:t>
      </w:r>
      <w:r w:rsidR="008647E1" w:rsidRPr="00903BCB">
        <w:rPr>
          <w:sz w:val="24"/>
          <w:szCs w:val="24"/>
        </w:rPr>
        <w:t>both linear and non-linear</w:t>
      </w:r>
      <w:r w:rsidR="00973DE7" w:rsidRPr="00903BCB">
        <w:rPr>
          <w:sz w:val="24"/>
          <w:szCs w:val="24"/>
        </w:rPr>
        <w:t xml:space="preserve"> – </w:t>
      </w:r>
      <w:r w:rsidR="00FF4D9A" w:rsidRPr="00903BCB">
        <w:rPr>
          <w:sz w:val="24"/>
          <w:szCs w:val="24"/>
        </w:rPr>
        <w:t xml:space="preserve">possible </w:t>
      </w:r>
      <w:r w:rsidRPr="00903BCB">
        <w:rPr>
          <w:sz w:val="24"/>
          <w:szCs w:val="24"/>
        </w:rPr>
        <w:t xml:space="preserve">mathematical </w:t>
      </w:r>
      <w:r w:rsidR="00365BFE" w:rsidRPr="00903BCB">
        <w:rPr>
          <w:sz w:val="24"/>
          <w:szCs w:val="24"/>
        </w:rPr>
        <w:t>combinations</w:t>
      </w:r>
      <w:r w:rsidR="008647E1" w:rsidRPr="00903BCB">
        <w:rPr>
          <w:sz w:val="24"/>
          <w:szCs w:val="24"/>
        </w:rPr>
        <w:t xml:space="preserve"> </w:t>
      </w:r>
      <w:r w:rsidR="00F7113F" w:rsidRPr="00903BCB">
        <w:rPr>
          <w:sz w:val="24"/>
          <w:szCs w:val="24"/>
        </w:rPr>
        <w:t>for their</w:t>
      </w:r>
      <w:r w:rsidR="00180B35" w:rsidRPr="00903BCB">
        <w:rPr>
          <w:sz w:val="24"/>
          <w:szCs w:val="24"/>
        </w:rPr>
        <w:t xml:space="preserve"> coefficients</w:t>
      </w:r>
      <w:r w:rsidR="00F7113F" w:rsidRPr="00903BCB">
        <w:rPr>
          <w:sz w:val="24"/>
          <w:szCs w:val="24"/>
        </w:rPr>
        <w:t>.</w:t>
      </w:r>
      <w:r w:rsidRPr="00903BCB">
        <w:rPr>
          <w:sz w:val="24"/>
          <w:szCs w:val="24"/>
        </w:rPr>
        <w:t xml:space="preserve"> </w:t>
      </w:r>
      <w:r w:rsidR="00180B35" w:rsidRPr="00903BCB">
        <w:rPr>
          <w:sz w:val="24"/>
          <w:szCs w:val="24"/>
        </w:rPr>
        <w:t>Consequently, the range</w:t>
      </w:r>
      <w:r w:rsidR="00F7113F" w:rsidRPr="00903BCB">
        <w:rPr>
          <w:sz w:val="24"/>
          <w:szCs w:val="24"/>
        </w:rPr>
        <w:t xml:space="preserve"> </w:t>
      </w:r>
      <w:r w:rsidR="00180B35" w:rsidRPr="00903BCB">
        <w:rPr>
          <w:sz w:val="24"/>
          <w:szCs w:val="24"/>
        </w:rPr>
        <w:t xml:space="preserve">of possible policy-making rationales and assumptions </w:t>
      </w:r>
      <w:r w:rsidR="008202AE" w:rsidRPr="00903BCB">
        <w:rPr>
          <w:sz w:val="24"/>
          <w:szCs w:val="24"/>
        </w:rPr>
        <w:t xml:space="preserve">for the amounts transferred </w:t>
      </w:r>
      <w:r w:rsidR="00180B35" w:rsidRPr="00903BCB">
        <w:rPr>
          <w:sz w:val="24"/>
          <w:szCs w:val="24"/>
        </w:rPr>
        <w:t>is equally very wide</w:t>
      </w:r>
      <w:r w:rsidR="00365BFE" w:rsidRPr="00903BCB">
        <w:rPr>
          <w:sz w:val="24"/>
          <w:szCs w:val="24"/>
        </w:rPr>
        <w:t>. Another difficulty</w:t>
      </w:r>
      <w:r w:rsidR="00416488" w:rsidRPr="00903BCB">
        <w:rPr>
          <w:sz w:val="24"/>
          <w:szCs w:val="24"/>
        </w:rPr>
        <w:t xml:space="preserve"> with, and limitation of,</w:t>
      </w:r>
      <w:r w:rsidR="00365BFE" w:rsidRPr="00903BCB">
        <w:rPr>
          <w:sz w:val="24"/>
          <w:szCs w:val="24"/>
        </w:rPr>
        <w:t xml:space="preserve"> the previous section is that it tries to capture</w:t>
      </w:r>
      <w:r w:rsidR="00644FBC" w:rsidRPr="00903BCB">
        <w:rPr>
          <w:sz w:val="24"/>
          <w:szCs w:val="24"/>
        </w:rPr>
        <w:t xml:space="preserve"> </w:t>
      </w:r>
      <w:r w:rsidR="00365BFE" w:rsidRPr="00903BCB">
        <w:rPr>
          <w:sz w:val="24"/>
          <w:szCs w:val="24"/>
        </w:rPr>
        <w:t xml:space="preserve">policy practice using </w:t>
      </w:r>
      <w:r w:rsidR="00644FBC" w:rsidRPr="00903BCB">
        <w:rPr>
          <w:sz w:val="24"/>
          <w:szCs w:val="24"/>
        </w:rPr>
        <w:t xml:space="preserve">transfers data </w:t>
      </w:r>
      <w:r w:rsidR="00F7113F" w:rsidRPr="00903BCB">
        <w:rPr>
          <w:sz w:val="24"/>
          <w:szCs w:val="24"/>
        </w:rPr>
        <w:t>for</w:t>
      </w:r>
      <w:r w:rsidR="00644FBC" w:rsidRPr="00903BCB">
        <w:rPr>
          <w:sz w:val="24"/>
          <w:szCs w:val="24"/>
        </w:rPr>
        <w:t xml:space="preserve"> one year only - </w:t>
      </w:r>
      <w:r w:rsidR="00365BFE" w:rsidRPr="00903BCB">
        <w:rPr>
          <w:sz w:val="24"/>
          <w:szCs w:val="24"/>
        </w:rPr>
        <w:t>2011.</w:t>
      </w:r>
      <w:r w:rsidR="00FB2794" w:rsidRPr="00903BCB">
        <w:rPr>
          <w:rStyle w:val="FootnoteReference"/>
          <w:sz w:val="24"/>
          <w:szCs w:val="24"/>
        </w:rPr>
        <w:footnoteReference w:id="17"/>
      </w:r>
      <w:r w:rsidR="000540D0" w:rsidRPr="00903BCB">
        <w:rPr>
          <w:sz w:val="24"/>
          <w:szCs w:val="24"/>
        </w:rPr>
        <w:t xml:space="preserve"> </w:t>
      </w:r>
    </w:p>
    <w:p w14:paraId="1676092E" w14:textId="77777777" w:rsidR="001B7852" w:rsidRPr="00903BCB" w:rsidRDefault="001B7852" w:rsidP="008067C2">
      <w:pPr>
        <w:spacing w:line="360" w:lineRule="auto"/>
        <w:ind w:left="0" w:right="0"/>
        <w:rPr>
          <w:sz w:val="24"/>
          <w:szCs w:val="24"/>
        </w:rPr>
      </w:pPr>
    </w:p>
    <w:p w14:paraId="494AE607" w14:textId="77777777" w:rsidR="001B7852" w:rsidRPr="00903BCB" w:rsidRDefault="00E67D53" w:rsidP="008067C2">
      <w:pPr>
        <w:spacing w:line="360" w:lineRule="auto"/>
        <w:ind w:left="0" w:right="0"/>
        <w:rPr>
          <w:i/>
          <w:sz w:val="24"/>
          <w:szCs w:val="24"/>
        </w:rPr>
      </w:pPr>
      <w:r w:rsidRPr="00903BCB">
        <w:rPr>
          <w:i/>
          <w:sz w:val="24"/>
          <w:szCs w:val="24"/>
        </w:rPr>
        <w:t>Population</w:t>
      </w:r>
      <w:r w:rsidR="00365BFE" w:rsidRPr="00903BCB">
        <w:rPr>
          <w:i/>
          <w:sz w:val="24"/>
          <w:szCs w:val="24"/>
        </w:rPr>
        <w:t xml:space="preserve"> </w:t>
      </w:r>
    </w:p>
    <w:p w14:paraId="59677CD9" w14:textId="30D207FE" w:rsidR="00F650F1" w:rsidRPr="00903BCB" w:rsidRDefault="00E67D53" w:rsidP="008067C2">
      <w:pPr>
        <w:spacing w:line="360" w:lineRule="auto"/>
        <w:ind w:left="0" w:right="0"/>
        <w:rPr>
          <w:sz w:val="24"/>
          <w:szCs w:val="24"/>
        </w:rPr>
      </w:pPr>
      <w:r w:rsidRPr="00903BCB">
        <w:rPr>
          <w:sz w:val="24"/>
          <w:szCs w:val="24"/>
        </w:rPr>
        <w:t xml:space="preserve">Population weights found </w:t>
      </w:r>
      <w:r w:rsidR="00E04B7C" w:rsidRPr="00903BCB">
        <w:rPr>
          <w:sz w:val="24"/>
          <w:szCs w:val="24"/>
        </w:rPr>
        <w:t xml:space="preserve">in </w:t>
      </w:r>
      <w:r w:rsidR="008647E1" w:rsidRPr="00903BCB">
        <w:rPr>
          <w:sz w:val="24"/>
          <w:szCs w:val="24"/>
        </w:rPr>
        <w:t xml:space="preserve">international and Jordan-related </w:t>
      </w:r>
      <w:r w:rsidRPr="00903BCB">
        <w:rPr>
          <w:sz w:val="24"/>
          <w:szCs w:val="24"/>
        </w:rPr>
        <w:t xml:space="preserve">literature range from 20% (MOPIC 2006) to 72% (MOMA 2012). </w:t>
      </w:r>
      <w:r w:rsidR="008647E1" w:rsidRPr="00903BCB">
        <w:rPr>
          <w:sz w:val="24"/>
          <w:szCs w:val="24"/>
        </w:rPr>
        <w:t>This means that according to the statistical modeling developed in the previous section the Jordanian government has been</w:t>
      </w:r>
      <w:r w:rsidR="00CE19F2" w:rsidRPr="00903BCB">
        <w:rPr>
          <w:sz w:val="24"/>
          <w:szCs w:val="24"/>
        </w:rPr>
        <w:t>, apparently,</w:t>
      </w:r>
      <w:r w:rsidR="000D0905" w:rsidRPr="00903BCB">
        <w:rPr>
          <w:sz w:val="24"/>
          <w:szCs w:val="24"/>
        </w:rPr>
        <w:t xml:space="preserve"> </w:t>
      </w:r>
      <w:r w:rsidR="00AB5352" w:rsidRPr="00903BCB">
        <w:rPr>
          <w:sz w:val="24"/>
          <w:szCs w:val="24"/>
        </w:rPr>
        <w:t xml:space="preserve">inflating </w:t>
      </w:r>
      <w:r w:rsidR="008647E1" w:rsidRPr="00903BCB">
        <w:rPr>
          <w:sz w:val="24"/>
          <w:szCs w:val="24"/>
        </w:rPr>
        <w:t xml:space="preserve">the relevance of population for </w:t>
      </w:r>
      <w:r w:rsidR="00CE19F2" w:rsidRPr="00903BCB">
        <w:rPr>
          <w:sz w:val="24"/>
          <w:szCs w:val="24"/>
        </w:rPr>
        <w:t>transfer</w:t>
      </w:r>
      <w:r w:rsidR="008647E1" w:rsidRPr="00903BCB">
        <w:rPr>
          <w:sz w:val="24"/>
          <w:szCs w:val="24"/>
        </w:rPr>
        <w:t xml:space="preserve"> calculation </w:t>
      </w:r>
      <w:r w:rsidR="00AB5352" w:rsidRPr="00903BCB">
        <w:rPr>
          <w:sz w:val="24"/>
          <w:szCs w:val="24"/>
        </w:rPr>
        <w:t>(87.5%)</w:t>
      </w:r>
      <w:r w:rsidR="008647E1" w:rsidRPr="00903BCB">
        <w:rPr>
          <w:sz w:val="24"/>
          <w:szCs w:val="24"/>
        </w:rPr>
        <w:t>.</w:t>
      </w:r>
      <w:r w:rsidR="00AB5352" w:rsidRPr="00903BCB">
        <w:rPr>
          <w:sz w:val="24"/>
          <w:szCs w:val="24"/>
        </w:rPr>
        <w:t xml:space="preserve"> </w:t>
      </w:r>
      <w:r w:rsidR="004A1E50" w:rsidRPr="00903BCB">
        <w:rPr>
          <w:sz w:val="24"/>
          <w:szCs w:val="24"/>
        </w:rPr>
        <w:t>Chart 6 supports this finding</w:t>
      </w:r>
      <w:r w:rsidR="00E04B7C" w:rsidRPr="00903BCB">
        <w:rPr>
          <w:sz w:val="24"/>
          <w:szCs w:val="24"/>
        </w:rPr>
        <w:t xml:space="preserve">, as </w:t>
      </w:r>
      <w:r w:rsidR="004A1E50" w:rsidRPr="00903BCB">
        <w:rPr>
          <w:sz w:val="24"/>
          <w:szCs w:val="24"/>
        </w:rPr>
        <w:t xml:space="preserve">the estimated model adjusts perfectly to the case of Amman </w:t>
      </w:r>
      <w:r w:rsidR="00E04B7C" w:rsidRPr="00903BCB">
        <w:rPr>
          <w:sz w:val="24"/>
          <w:szCs w:val="24"/>
        </w:rPr>
        <w:t>G</w:t>
      </w:r>
      <w:r w:rsidR="004A1E50" w:rsidRPr="00903BCB">
        <w:rPr>
          <w:sz w:val="24"/>
          <w:szCs w:val="24"/>
        </w:rPr>
        <w:t>overnorate – by far the most populated of all governorates.</w:t>
      </w:r>
    </w:p>
    <w:p w14:paraId="722D76A8" w14:textId="77777777" w:rsidR="00B5184F" w:rsidRPr="00903BCB" w:rsidRDefault="00B5184F" w:rsidP="008067C2">
      <w:pPr>
        <w:spacing w:line="360" w:lineRule="auto"/>
        <w:ind w:left="0" w:right="0"/>
        <w:rPr>
          <w:sz w:val="24"/>
          <w:szCs w:val="24"/>
        </w:rPr>
      </w:pPr>
    </w:p>
    <w:p w14:paraId="552E0577" w14:textId="1478042F" w:rsidR="00BD4B28" w:rsidRPr="00903BCB" w:rsidRDefault="00B5184F" w:rsidP="00A15CEF">
      <w:pPr>
        <w:spacing w:line="360" w:lineRule="auto"/>
        <w:ind w:left="0" w:right="0"/>
        <w:rPr>
          <w:sz w:val="24"/>
          <w:szCs w:val="24"/>
        </w:rPr>
      </w:pPr>
      <w:r w:rsidRPr="00903BCB">
        <w:rPr>
          <w:sz w:val="24"/>
          <w:szCs w:val="24"/>
        </w:rPr>
        <w:t xml:space="preserve">A reduction of </w:t>
      </w:r>
      <w:r w:rsidR="00BD4B28" w:rsidRPr="00903BCB">
        <w:rPr>
          <w:sz w:val="24"/>
          <w:szCs w:val="24"/>
        </w:rPr>
        <w:t xml:space="preserve">the population coefficient </w:t>
      </w:r>
      <w:r w:rsidR="00987E39" w:rsidRPr="00903BCB">
        <w:rPr>
          <w:sz w:val="24"/>
          <w:szCs w:val="24"/>
        </w:rPr>
        <w:t>would</w:t>
      </w:r>
      <w:r w:rsidR="00663481" w:rsidRPr="00903BCB">
        <w:rPr>
          <w:sz w:val="24"/>
          <w:szCs w:val="24"/>
        </w:rPr>
        <w:t>, by definition,</w:t>
      </w:r>
      <w:r w:rsidR="002F0D2A" w:rsidRPr="00903BCB">
        <w:rPr>
          <w:sz w:val="24"/>
          <w:szCs w:val="24"/>
        </w:rPr>
        <w:t xml:space="preserve"> </w:t>
      </w:r>
      <w:r w:rsidR="00581128" w:rsidRPr="00903BCB">
        <w:rPr>
          <w:sz w:val="24"/>
          <w:szCs w:val="24"/>
        </w:rPr>
        <w:t xml:space="preserve">(i) </w:t>
      </w:r>
      <w:r w:rsidRPr="00903BCB">
        <w:rPr>
          <w:sz w:val="24"/>
          <w:szCs w:val="24"/>
        </w:rPr>
        <w:t>benefit less populated governorates, such as Tafilah and Ma’an</w:t>
      </w:r>
      <w:r w:rsidR="00973DE7" w:rsidRPr="00903BCB">
        <w:rPr>
          <w:sz w:val="24"/>
          <w:szCs w:val="24"/>
        </w:rPr>
        <w:t>,</w:t>
      </w:r>
      <w:r w:rsidR="00581128" w:rsidRPr="00903BCB">
        <w:rPr>
          <w:sz w:val="24"/>
          <w:szCs w:val="24"/>
        </w:rPr>
        <w:t xml:space="preserve"> and (ii)</w:t>
      </w:r>
      <w:r w:rsidR="00280EA9" w:rsidRPr="00903BCB">
        <w:rPr>
          <w:sz w:val="24"/>
          <w:szCs w:val="24"/>
        </w:rPr>
        <w:t xml:space="preserve"> </w:t>
      </w:r>
      <w:r w:rsidR="00987E39" w:rsidRPr="00903BCB">
        <w:rPr>
          <w:sz w:val="24"/>
          <w:szCs w:val="24"/>
        </w:rPr>
        <w:t>d</w:t>
      </w:r>
      <w:r w:rsidR="005662EC" w:rsidRPr="00903BCB">
        <w:rPr>
          <w:sz w:val="24"/>
          <w:szCs w:val="24"/>
        </w:rPr>
        <w:t>ivert</w:t>
      </w:r>
      <w:r w:rsidR="00987E39" w:rsidRPr="00903BCB">
        <w:rPr>
          <w:sz w:val="24"/>
          <w:szCs w:val="24"/>
        </w:rPr>
        <w:t xml:space="preserve"> funds from more populated governorates such as </w:t>
      </w:r>
      <w:r w:rsidR="00BD4B28" w:rsidRPr="00903BCB">
        <w:rPr>
          <w:sz w:val="24"/>
          <w:szCs w:val="24"/>
        </w:rPr>
        <w:t>Amman, Irbid and Zarqa</w:t>
      </w:r>
      <w:r w:rsidR="00513F79" w:rsidRPr="00903BCB">
        <w:rPr>
          <w:sz w:val="24"/>
          <w:szCs w:val="24"/>
        </w:rPr>
        <w:t>,</w:t>
      </w:r>
      <w:r w:rsidR="00987E39" w:rsidRPr="00903BCB">
        <w:rPr>
          <w:sz w:val="24"/>
          <w:szCs w:val="24"/>
        </w:rPr>
        <w:t xml:space="preserve"> where 80% of the Jordanian population </w:t>
      </w:r>
      <w:r w:rsidR="00E04B7C" w:rsidRPr="00903BCB">
        <w:rPr>
          <w:sz w:val="24"/>
          <w:szCs w:val="24"/>
        </w:rPr>
        <w:t xml:space="preserve">is </w:t>
      </w:r>
      <w:r w:rsidR="00987E39" w:rsidRPr="00903BCB">
        <w:rPr>
          <w:sz w:val="24"/>
          <w:szCs w:val="24"/>
        </w:rPr>
        <w:t>concentrate</w:t>
      </w:r>
      <w:r w:rsidR="00E04B7C" w:rsidRPr="00903BCB">
        <w:rPr>
          <w:sz w:val="24"/>
          <w:szCs w:val="24"/>
        </w:rPr>
        <w:t>d</w:t>
      </w:r>
      <w:r w:rsidR="00BD4B28" w:rsidRPr="00903BCB">
        <w:rPr>
          <w:sz w:val="24"/>
          <w:szCs w:val="24"/>
        </w:rPr>
        <w:t>.</w:t>
      </w:r>
    </w:p>
    <w:p w14:paraId="22A08D14" w14:textId="77777777" w:rsidR="00AB22B1" w:rsidRPr="00903BCB" w:rsidRDefault="00AB22B1" w:rsidP="008067C2">
      <w:pPr>
        <w:spacing w:line="360" w:lineRule="auto"/>
        <w:ind w:left="0" w:right="0"/>
        <w:rPr>
          <w:sz w:val="24"/>
          <w:szCs w:val="24"/>
        </w:rPr>
      </w:pPr>
    </w:p>
    <w:p w14:paraId="17E29125" w14:textId="77777777" w:rsidR="001B7852" w:rsidRPr="00903BCB" w:rsidRDefault="00CE19F2" w:rsidP="008067C2">
      <w:pPr>
        <w:spacing w:line="360" w:lineRule="auto"/>
        <w:ind w:left="0" w:right="0"/>
        <w:rPr>
          <w:i/>
          <w:sz w:val="24"/>
          <w:szCs w:val="24"/>
        </w:rPr>
      </w:pPr>
      <w:r w:rsidRPr="00903BCB">
        <w:rPr>
          <w:i/>
          <w:sz w:val="24"/>
          <w:szCs w:val="24"/>
        </w:rPr>
        <w:t>Area</w:t>
      </w:r>
    </w:p>
    <w:p w14:paraId="69E707F0" w14:textId="5811C764" w:rsidR="00CE19F2" w:rsidRPr="00903BCB" w:rsidRDefault="000D0905" w:rsidP="008067C2">
      <w:pPr>
        <w:spacing w:line="360" w:lineRule="auto"/>
        <w:ind w:left="0" w:right="0"/>
        <w:rPr>
          <w:sz w:val="24"/>
          <w:szCs w:val="24"/>
        </w:rPr>
      </w:pPr>
      <w:r w:rsidRPr="00903BCB">
        <w:rPr>
          <w:sz w:val="24"/>
          <w:szCs w:val="24"/>
        </w:rPr>
        <w:t>Area weights found in international and Jordan-related literature range from 5% (Ma 1997) to 32% (MOMA 2012). According to the statistical modeling developed in the previous section</w:t>
      </w:r>
      <w:r w:rsidR="00973DE7" w:rsidRPr="00903BCB">
        <w:rPr>
          <w:sz w:val="24"/>
          <w:szCs w:val="24"/>
        </w:rPr>
        <w:t>,</w:t>
      </w:r>
      <w:r w:rsidRPr="00903BCB">
        <w:rPr>
          <w:sz w:val="24"/>
          <w:szCs w:val="24"/>
        </w:rPr>
        <w:t xml:space="preserve"> the Jordanian government has been we</w:t>
      </w:r>
      <w:r w:rsidR="00893ED5" w:rsidRPr="00903BCB">
        <w:rPr>
          <w:sz w:val="24"/>
          <w:szCs w:val="24"/>
        </w:rPr>
        <w:t>ighting the use of this parameter</w:t>
      </w:r>
      <w:r w:rsidRPr="00903BCB">
        <w:rPr>
          <w:sz w:val="24"/>
          <w:szCs w:val="24"/>
        </w:rPr>
        <w:t xml:space="preserve"> </w:t>
      </w:r>
      <w:r w:rsidR="00BB7E7B" w:rsidRPr="00903BCB">
        <w:rPr>
          <w:sz w:val="24"/>
          <w:szCs w:val="24"/>
        </w:rPr>
        <w:t xml:space="preserve">for transfer calculation </w:t>
      </w:r>
      <w:r w:rsidR="00B61E51" w:rsidRPr="00903BCB">
        <w:rPr>
          <w:sz w:val="24"/>
          <w:szCs w:val="24"/>
        </w:rPr>
        <w:t>at the lower end of the range suggested by the literature</w:t>
      </w:r>
      <w:r w:rsidRPr="00903BCB">
        <w:rPr>
          <w:sz w:val="24"/>
          <w:szCs w:val="24"/>
        </w:rPr>
        <w:t>.</w:t>
      </w:r>
      <w:r w:rsidR="004A1E50" w:rsidRPr="00903BCB">
        <w:rPr>
          <w:sz w:val="24"/>
          <w:szCs w:val="24"/>
        </w:rPr>
        <w:t xml:space="preserve"> H</w:t>
      </w:r>
      <w:r w:rsidR="004D6E0B" w:rsidRPr="00903BCB">
        <w:rPr>
          <w:sz w:val="24"/>
          <w:szCs w:val="24"/>
        </w:rPr>
        <w:t xml:space="preserve">owever, </w:t>
      </w:r>
      <w:r w:rsidR="00B61E51" w:rsidRPr="00903BCB">
        <w:rPr>
          <w:sz w:val="24"/>
          <w:szCs w:val="24"/>
        </w:rPr>
        <w:t>if we take into consideration that the 5% found in the literature refers to India’s intergovernmental transfer formula, which use</w:t>
      </w:r>
      <w:r w:rsidR="000D6DB8" w:rsidRPr="00903BCB">
        <w:rPr>
          <w:sz w:val="24"/>
          <w:szCs w:val="24"/>
        </w:rPr>
        <w:t>s</w:t>
      </w:r>
      <w:r w:rsidR="007F100E" w:rsidRPr="00903BCB">
        <w:rPr>
          <w:sz w:val="24"/>
          <w:szCs w:val="24"/>
        </w:rPr>
        <w:t xml:space="preserve"> a </w:t>
      </w:r>
      <w:r w:rsidR="0006516D" w:rsidRPr="00903BCB">
        <w:rPr>
          <w:sz w:val="24"/>
          <w:szCs w:val="24"/>
        </w:rPr>
        <w:t xml:space="preserve">range </w:t>
      </w:r>
      <w:r w:rsidR="00B61E51" w:rsidRPr="00903BCB">
        <w:rPr>
          <w:sz w:val="24"/>
          <w:szCs w:val="24"/>
        </w:rPr>
        <w:t xml:space="preserve">of </w:t>
      </w:r>
      <w:r w:rsidR="007F100E" w:rsidRPr="00903BCB">
        <w:rPr>
          <w:sz w:val="24"/>
          <w:szCs w:val="24"/>
        </w:rPr>
        <w:t xml:space="preserve">additional </w:t>
      </w:r>
      <w:r w:rsidR="00893ED5" w:rsidRPr="00903BCB">
        <w:rPr>
          <w:sz w:val="24"/>
          <w:szCs w:val="24"/>
        </w:rPr>
        <w:t>p</w:t>
      </w:r>
      <w:r w:rsidR="00057E94" w:rsidRPr="00903BCB">
        <w:rPr>
          <w:sz w:val="24"/>
          <w:szCs w:val="24"/>
        </w:rPr>
        <w:t>a</w:t>
      </w:r>
      <w:r w:rsidR="00893ED5" w:rsidRPr="00903BCB">
        <w:rPr>
          <w:sz w:val="24"/>
          <w:szCs w:val="24"/>
        </w:rPr>
        <w:t>rameters</w:t>
      </w:r>
      <w:r w:rsidR="007F100E" w:rsidRPr="00903BCB">
        <w:rPr>
          <w:sz w:val="24"/>
          <w:szCs w:val="24"/>
        </w:rPr>
        <w:t>,</w:t>
      </w:r>
      <w:r w:rsidR="000D6DB8" w:rsidRPr="00903BCB">
        <w:rPr>
          <w:sz w:val="24"/>
          <w:szCs w:val="24"/>
        </w:rPr>
        <w:t xml:space="preserve"> including </w:t>
      </w:r>
      <w:r w:rsidR="00B61E51" w:rsidRPr="00903BCB">
        <w:rPr>
          <w:sz w:val="24"/>
          <w:szCs w:val="24"/>
        </w:rPr>
        <w:t>infrastructure and tax revenue</w:t>
      </w:r>
      <w:r w:rsidR="000D6DB8" w:rsidRPr="00903BCB">
        <w:rPr>
          <w:sz w:val="24"/>
          <w:szCs w:val="24"/>
        </w:rPr>
        <w:t>, there seems to be room for the Jordanian government to increase the weig</w:t>
      </w:r>
      <w:r w:rsidR="00893ED5" w:rsidRPr="00903BCB">
        <w:rPr>
          <w:sz w:val="24"/>
          <w:szCs w:val="24"/>
        </w:rPr>
        <w:t>ht of this parameter</w:t>
      </w:r>
      <w:r w:rsidR="007F100E" w:rsidRPr="00903BCB">
        <w:rPr>
          <w:sz w:val="24"/>
          <w:szCs w:val="24"/>
        </w:rPr>
        <w:t xml:space="preserve"> in the transfer</w:t>
      </w:r>
      <w:r w:rsidR="00E04B7C" w:rsidRPr="00903BCB">
        <w:rPr>
          <w:sz w:val="24"/>
          <w:szCs w:val="24"/>
        </w:rPr>
        <w:t xml:space="preserve"> </w:t>
      </w:r>
      <w:r w:rsidR="007F100E" w:rsidRPr="00903BCB">
        <w:rPr>
          <w:sz w:val="24"/>
          <w:szCs w:val="24"/>
        </w:rPr>
        <w:t>formula</w:t>
      </w:r>
      <w:r w:rsidR="00B74D04" w:rsidRPr="00903BCB">
        <w:rPr>
          <w:sz w:val="24"/>
          <w:szCs w:val="24"/>
        </w:rPr>
        <w:t>.</w:t>
      </w:r>
      <w:r w:rsidR="000D6DB8" w:rsidRPr="00903BCB">
        <w:rPr>
          <w:sz w:val="24"/>
          <w:szCs w:val="24"/>
        </w:rPr>
        <w:t xml:space="preserve"> </w:t>
      </w:r>
      <w:r w:rsidR="00B74D04" w:rsidRPr="00903BCB">
        <w:rPr>
          <w:sz w:val="24"/>
          <w:szCs w:val="24"/>
        </w:rPr>
        <w:t>This is especially relevant considering</w:t>
      </w:r>
      <w:r w:rsidR="000D6DB8" w:rsidRPr="00903BCB">
        <w:rPr>
          <w:sz w:val="24"/>
          <w:szCs w:val="24"/>
        </w:rPr>
        <w:t xml:space="preserve"> that the highest poverty rates are found in </w:t>
      </w:r>
      <w:r w:rsidR="007F100E" w:rsidRPr="00903BCB">
        <w:rPr>
          <w:sz w:val="24"/>
          <w:szCs w:val="24"/>
        </w:rPr>
        <w:t xml:space="preserve">the </w:t>
      </w:r>
      <w:r w:rsidR="000D6DB8" w:rsidRPr="00903BCB">
        <w:rPr>
          <w:sz w:val="24"/>
          <w:szCs w:val="24"/>
        </w:rPr>
        <w:t>large</w:t>
      </w:r>
      <w:r w:rsidR="007F100E" w:rsidRPr="00903BCB">
        <w:rPr>
          <w:sz w:val="24"/>
          <w:szCs w:val="24"/>
        </w:rPr>
        <w:t>st</w:t>
      </w:r>
      <w:r w:rsidR="000D6DB8" w:rsidRPr="00903BCB">
        <w:rPr>
          <w:sz w:val="24"/>
          <w:szCs w:val="24"/>
        </w:rPr>
        <w:t xml:space="preserve"> </w:t>
      </w:r>
      <w:r w:rsidR="00E26500" w:rsidRPr="00903BCB">
        <w:rPr>
          <w:sz w:val="24"/>
          <w:szCs w:val="24"/>
        </w:rPr>
        <w:t xml:space="preserve">geographical </w:t>
      </w:r>
      <w:r w:rsidR="000D6DB8" w:rsidRPr="00903BCB">
        <w:rPr>
          <w:sz w:val="24"/>
          <w:szCs w:val="24"/>
        </w:rPr>
        <w:t>governorates.</w:t>
      </w:r>
    </w:p>
    <w:p w14:paraId="5F2877AC" w14:textId="77777777" w:rsidR="00A15CEF" w:rsidRPr="00903BCB" w:rsidRDefault="00A15CEF" w:rsidP="008067C2">
      <w:pPr>
        <w:spacing w:line="360" w:lineRule="auto"/>
        <w:ind w:left="0" w:right="0"/>
        <w:rPr>
          <w:sz w:val="24"/>
          <w:szCs w:val="24"/>
        </w:rPr>
      </w:pPr>
    </w:p>
    <w:p w14:paraId="2E83FA7F" w14:textId="04896C5A" w:rsidR="00C81C35" w:rsidRPr="00903BCB" w:rsidRDefault="00F56520" w:rsidP="00A15CEF">
      <w:pPr>
        <w:spacing w:line="360" w:lineRule="auto"/>
        <w:ind w:left="0" w:right="0"/>
        <w:rPr>
          <w:sz w:val="24"/>
          <w:szCs w:val="24"/>
          <w:highlight w:val="yellow"/>
        </w:rPr>
      </w:pPr>
      <w:r w:rsidRPr="00903BCB">
        <w:rPr>
          <w:sz w:val="24"/>
          <w:szCs w:val="24"/>
        </w:rPr>
        <w:t xml:space="preserve">The </w:t>
      </w:r>
      <w:r w:rsidR="002F0D2A" w:rsidRPr="00903BCB">
        <w:rPr>
          <w:sz w:val="24"/>
          <w:szCs w:val="24"/>
        </w:rPr>
        <w:t>assertion that there is</w:t>
      </w:r>
      <w:r w:rsidR="00B74D04" w:rsidRPr="00903BCB">
        <w:rPr>
          <w:sz w:val="24"/>
          <w:szCs w:val="24"/>
        </w:rPr>
        <w:t xml:space="preserve"> </w:t>
      </w:r>
      <w:r w:rsidR="002F0D2A" w:rsidRPr="00903BCB">
        <w:rPr>
          <w:sz w:val="24"/>
          <w:szCs w:val="24"/>
        </w:rPr>
        <w:t xml:space="preserve">margin to increase the area coefficient </w:t>
      </w:r>
      <w:r w:rsidR="00DF2188" w:rsidRPr="00903BCB">
        <w:rPr>
          <w:sz w:val="24"/>
          <w:szCs w:val="24"/>
        </w:rPr>
        <w:t xml:space="preserve">in the Jordanian transfer formula </w:t>
      </w:r>
      <w:r w:rsidR="00280EA9" w:rsidRPr="00903BCB">
        <w:rPr>
          <w:sz w:val="24"/>
          <w:szCs w:val="24"/>
        </w:rPr>
        <w:t xml:space="preserve">mirrors </w:t>
      </w:r>
      <w:r w:rsidR="002F0D2A" w:rsidRPr="00903BCB">
        <w:rPr>
          <w:sz w:val="24"/>
          <w:szCs w:val="24"/>
        </w:rPr>
        <w:t xml:space="preserve">the previous </w:t>
      </w:r>
      <w:r w:rsidR="00140230" w:rsidRPr="00903BCB">
        <w:rPr>
          <w:sz w:val="24"/>
          <w:szCs w:val="24"/>
        </w:rPr>
        <w:t>remark</w:t>
      </w:r>
      <w:r w:rsidR="00663481" w:rsidRPr="00903BCB">
        <w:rPr>
          <w:sz w:val="24"/>
          <w:szCs w:val="24"/>
        </w:rPr>
        <w:t>,</w:t>
      </w:r>
      <w:r w:rsidR="002F0D2A" w:rsidRPr="00903BCB">
        <w:rPr>
          <w:sz w:val="24"/>
          <w:szCs w:val="24"/>
        </w:rPr>
        <w:t xml:space="preserve"> </w:t>
      </w:r>
      <w:r w:rsidR="00663481" w:rsidRPr="00903BCB">
        <w:rPr>
          <w:sz w:val="24"/>
          <w:szCs w:val="24"/>
        </w:rPr>
        <w:t xml:space="preserve">which </w:t>
      </w:r>
      <w:r w:rsidR="002F0D2A" w:rsidRPr="00903BCB">
        <w:rPr>
          <w:sz w:val="24"/>
          <w:szCs w:val="24"/>
        </w:rPr>
        <w:t>suggested</w:t>
      </w:r>
      <w:r w:rsidR="00140230" w:rsidRPr="00903BCB">
        <w:rPr>
          <w:sz w:val="24"/>
          <w:szCs w:val="24"/>
        </w:rPr>
        <w:t xml:space="preserve"> </w:t>
      </w:r>
      <w:r w:rsidR="002F0D2A" w:rsidRPr="00903BCB">
        <w:rPr>
          <w:sz w:val="24"/>
          <w:szCs w:val="24"/>
        </w:rPr>
        <w:t>a reduction in the population</w:t>
      </w:r>
      <w:r w:rsidR="00663481" w:rsidRPr="00903BCB">
        <w:rPr>
          <w:sz w:val="24"/>
          <w:szCs w:val="24"/>
        </w:rPr>
        <w:t xml:space="preserve"> coefficient.</w:t>
      </w:r>
      <w:r w:rsidR="00C81C35" w:rsidRPr="00903BCB">
        <w:rPr>
          <w:sz w:val="24"/>
          <w:szCs w:val="24"/>
        </w:rPr>
        <w:t xml:space="preserve"> This is mainly because </w:t>
      </w:r>
      <w:r w:rsidR="00A15CEF" w:rsidRPr="00903BCB">
        <w:rPr>
          <w:sz w:val="24"/>
          <w:szCs w:val="24"/>
        </w:rPr>
        <w:t xml:space="preserve">the </w:t>
      </w:r>
      <w:r w:rsidR="00C81C35" w:rsidRPr="00903BCB">
        <w:rPr>
          <w:sz w:val="24"/>
          <w:szCs w:val="24"/>
        </w:rPr>
        <w:t xml:space="preserve">largest </w:t>
      </w:r>
      <w:r w:rsidR="00A15CEF" w:rsidRPr="00903BCB">
        <w:rPr>
          <w:sz w:val="24"/>
          <w:szCs w:val="24"/>
        </w:rPr>
        <w:t xml:space="preserve">governorates </w:t>
      </w:r>
      <w:r w:rsidR="00C81C35" w:rsidRPr="00903BCB">
        <w:rPr>
          <w:sz w:val="24"/>
          <w:szCs w:val="24"/>
        </w:rPr>
        <w:t xml:space="preserve">are also the governorates </w:t>
      </w:r>
      <w:r w:rsidR="00A15CEF" w:rsidRPr="00903BCB">
        <w:rPr>
          <w:sz w:val="24"/>
          <w:szCs w:val="24"/>
        </w:rPr>
        <w:t xml:space="preserve">with </w:t>
      </w:r>
      <w:r w:rsidR="00C81C35" w:rsidRPr="00903BCB">
        <w:rPr>
          <w:sz w:val="24"/>
          <w:szCs w:val="24"/>
        </w:rPr>
        <w:t>the</w:t>
      </w:r>
      <w:r w:rsidR="00A15CEF" w:rsidRPr="00903BCB">
        <w:rPr>
          <w:sz w:val="24"/>
          <w:szCs w:val="24"/>
        </w:rPr>
        <w:t xml:space="preserve"> low</w:t>
      </w:r>
      <w:r w:rsidR="00C81C35" w:rsidRPr="00903BCB">
        <w:rPr>
          <w:sz w:val="24"/>
          <w:szCs w:val="24"/>
        </w:rPr>
        <w:t>est</w:t>
      </w:r>
      <w:r w:rsidR="00A15CEF" w:rsidRPr="00903BCB">
        <w:rPr>
          <w:sz w:val="24"/>
          <w:szCs w:val="24"/>
        </w:rPr>
        <w:t xml:space="preserve"> population density</w:t>
      </w:r>
      <w:r w:rsidR="009B7FA3" w:rsidRPr="00903BCB">
        <w:rPr>
          <w:sz w:val="24"/>
          <w:szCs w:val="24"/>
        </w:rPr>
        <w:t xml:space="preserve"> (i.e., Ma’an and Mafraq)</w:t>
      </w:r>
      <w:r w:rsidR="00C81C35" w:rsidRPr="00903BCB">
        <w:rPr>
          <w:sz w:val="24"/>
          <w:szCs w:val="24"/>
        </w:rPr>
        <w:t>.</w:t>
      </w:r>
    </w:p>
    <w:p w14:paraId="182D9B07" w14:textId="77777777" w:rsidR="00A15CEF" w:rsidRPr="00903BCB" w:rsidRDefault="00A15CEF" w:rsidP="008067C2">
      <w:pPr>
        <w:spacing w:line="360" w:lineRule="auto"/>
        <w:ind w:left="0" w:right="0"/>
        <w:rPr>
          <w:sz w:val="24"/>
          <w:szCs w:val="24"/>
        </w:rPr>
      </w:pPr>
    </w:p>
    <w:p w14:paraId="28A11A8F" w14:textId="77777777" w:rsidR="00077718" w:rsidRPr="00903BCB" w:rsidRDefault="00077718" w:rsidP="008067C2">
      <w:pPr>
        <w:spacing w:line="360" w:lineRule="auto"/>
        <w:ind w:left="0" w:right="0"/>
        <w:rPr>
          <w:i/>
          <w:sz w:val="24"/>
          <w:szCs w:val="24"/>
        </w:rPr>
      </w:pPr>
      <w:r w:rsidRPr="00903BCB">
        <w:rPr>
          <w:i/>
          <w:sz w:val="24"/>
          <w:szCs w:val="24"/>
        </w:rPr>
        <w:t>Poverty and Unemployment</w:t>
      </w:r>
    </w:p>
    <w:p w14:paraId="4784B092" w14:textId="270E5A57" w:rsidR="009802E4" w:rsidRPr="00903BCB" w:rsidRDefault="00C552D6" w:rsidP="00917540">
      <w:pPr>
        <w:spacing w:line="360" w:lineRule="auto"/>
        <w:ind w:left="0" w:right="0"/>
        <w:rPr>
          <w:sz w:val="24"/>
          <w:szCs w:val="24"/>
        </w:rPr>
      </w:pPr>
      <w:r w:rsidRPr="00903BCB">
        <w:rPr>
          <w:sz w:val="24"/>
          <w:szCs w:val="24"/>
        </w:rPr>
        <w:t>These two parameters</w:t>
      </w:r>
      <w:r w:rsidR="003A5BB8" w:rsidRPr="00903BCB">
        <w:rPr>
          <w:sz w:val="24"/>
          <w:szCs w:val="24"/>
        </w:rPr>
        <w:t xml:space="preserve"> were not found </w:t>
      </w:r>
      <w:r w:rsidR="008101DF" w:rsidRPr="00903BCB">
        <w:rPr>
          <w:sz w:val="24"/>
          <w:szCs w:val="24"/>
        </w:rPr>
        <w:t xml:space="preserve">to be </w:t>
      </w:r>
      <w:r w:rsidR="003A5BB8" w:rsidRPr="00903BCB">
        <w:rPr>
          <w:sz w:val="24"/>
          <w:szCs w:val="24"/>
        </w:rPr>
        <w:t>statistical</w:t>
      </w:r>
      <w:r w:rsidR="00FC2559" w:rsidRPr="00903BCB">
        <w:rPr>
          <w:sz w:val="24"/>
          <w:szCs w:val="24"/>
        </w:rPr>
        <w:t>ly</w:t>
      </w:r>
      <w:r w:rsidR="003A5BB8" w:rsidRPr="00903BCB">
        <w:rPr>
          <w:sz w:val="24"/>
          <w:szCs w:val="24"/>
        </w:rPr>
        <w:t xml:space="preserve"> significant when modeling transfer </w:t>
      </w:r>
      <w:r w:rsidR="008101DF" w:rsidRPr="00903BCB">
        <w:rPr>
          <w:sz w:val="24"/>
          <w:szCs w:val="24"/>
        </w:rPr>
        <w:t xml:space="preserve">policy-making </w:t>
      </w:r>
      <w:r w:rsidRPr="00903BCB">
        <w:rPr>
          <w:sz w:val="24"/>
          <w:szCs w:val="24"/>
        </w:rPr>
        <w:t>together with the parameters</w:t>
      </w:r>
      <w:r w:rsidR="00B74D04" w:rsidRPr="00903BCB">
        <w:rPr>
          <w:sz w:val="24"/>
          <w:szCs w:val="24"/>
        </w:rPr>
        <w:t xml:space="preserve"> of</w:t>
      </w:r>
      <w:r w:rsidR="008101DF" w:rsidRPr="00903BCB">
        <w:rPr>
          <w:sz w:val="24"/>
          <w:szCs w:val="24"/>
        </w:rPr>
        <w:t xml:space="preserve"> population and area. This suggests that transfer</w:t>
      </w:r>
      <w:r w:rsidR="00B74D04" w:rsidRPr="00903BCB">
        <w:rPr>
          <w:sz w:val="24"/>
          <w:szCs w:val="24"/>
        </w:rPr>
        <w:t xml:space="preserve"> </w:t>
      </w:r>
      <w:r w:rsidR="008101DF" w:rsidRPr="00903BCB">
        <w:rPr>
          <w:sz w:val="24"/>
          <w:szCs w:val="24"/>
        </w:rPr>
        <w:t xml:space="preserve">policies have not been derived </w:t>
      </w:r>
      <w:r w:rsidR="00B74D04" w:rsidRPr="00903BCB">
        <w:rPr>
          <w:sz w:val="24"/>
          <w:szCs w:val="24"/>
        </w:rPr>
        <w:t>from</w:t>
      </w:r>
      <w:r w:rsidR="008101DF" w:rsidRPr="00903BCB">
        <w:rPr>
          <w:sz w:val="24"/>
          <w:szCs w:val="24"/>
        </w:rPr>
        <w:t xml:space="preserve"> the </w:t>
      </w:r>
      <w:r w:rsidRPr="00903BCB">
        <w:rPr>
          <w:sz w:val="24"/>
          <w:szCs w:val="24"/>
        </w:rPr>
        <w:t xml:space="preserve">influence of these two </w:t>
      </w:r>
      <w:r w:rsidR="00AF3FE7" w:rsidRPr="00903BCB">
        <w:rPr>
          <w:sz w:val="24"/>
          <w:szCs w:val="24"/>
        </w:rPr>
        <w:t>parameters, which</w:t>
      </w:r>
      <w:r w:rsidR="008101DF" w:rsidRPr="00903BCB">
        <w:rPr>
          <w:sz w:val="24"/>
          <w:szCs w:val="24"/>
        </w:rPr>
        <w:t xml:space="preserve"> seems to be a paradox given</w:t>
      </w:r>
      <w:r w:rsidR="00FC2559" w:rsidRPr="00903BCB">
        <w:rPr>
          <w:sz w:val="24"/>
          <w:szCs w:val="24"/>
        </w:rPr>
        <w:t xml:space="preserve"> the</w:t>
      </w:r>
      <w:r w:rsidR="008101DF" w:rsidRPr="00903BCB">
        <w:rPr>
          <w:sz w:val="24"/>
          <w:szCs w:val="24"/>
        </w:rPr>
        <w:t xml:space="preserve"> government’s main policy goal of combating extreme poverty.</w:t>
      </w:r>
      <w:r w:rsidR="00F97F8C" w:rsidRPr="00903BCB">
        <w:rPr>
          <w:sz w:val="24"/>
          <w:szCs w:val="24"/>
        </w:rPr>
        <w:t xml:space="preserve"> This paradox is even more evident w</w:t>
      </w:r>
      <w:r w:rsidR="00FC2559" w:rsidRPr="00903BCB">
        <w:rPr>
          <w:sz w:val="24"/>
          <w:szCs w:val="24"/>
        </w:rPr>
        <w:t>ith</w:t>
      </w:r>
      <w:r w:rsidR="00F97F8C" w:rsidRPr="00903BCB">
        <w:rPr>
          <w:sz w:val="24"/>
          <w:szCs w:val="24"/>
        </w:rPr>
        <w:t xml:space="preserve"> Charts 3 and 4 illustrat</w:t>
      </w:r>
      <w:r w:rsidR="00FC2559" w:rsidRPr="00903BCB">
        <w:rPr>
          <w:sz w:val="24"/>
          <w:szCs w:val="24"/>
        </w:rPr>
        <w:t>ion of</w:t>
      </w:r>
      <w:r w:rsidR="00F97F8C" w:rsidRPr="00903BCB">
        <w:rPr>
          <w:sz w:val="24"/>
          <w:szCs w:val="24"/>
        </w:rPr>
        <w:t xml:space="preserve"> the negative correlation between amounts transferred and the degree of socio-economic severi</w:t>
      </w:r>
      <w:r w:rsidRPr="00903BCB">
        <w:rPr>
          <w:sz w:val="24"/>
          <w:szCs w:val="24"/>
        </w:rPr>
        <w:t>ty associated with each parameter</w:t>
      </w:r>
      <w:r w:rsidR="00F97F8C" w:rsidRPr="00903BCB">
        <w:rPr>
          <w:sz w:val="24"/>
          <w:szCs w:val="24"/>
        </w:rPr>
        <w:t>.</w:t>
      </w:r>
      <w:r w:rsidR="008101DF" w:rsidRPr="00903BCB">
        <w:rPr>
          <w:sz w:val="24"/>
          <w:szCs w:val="24"/>
        </w:rPr>
        <w:t xml:space="preserve"> </w:t>
      </w:r>
      <w:r w:rsidR="007F100E" w:rsidRPr="00903BCB">
        <w:rPr>
          <w:sz w:val="24"/>
          <w:szCs w:val="24"/>
        </w:rPr>
        <w:t xml:space="preserve">Poverty and unemployment data could also be </w:t>
      </w:r>
      <w:r w:rsidR="00F858DE" w:rsidRPr="00903BCB">
        <w:rPr>
          <w:sz w:val="24"/>
          <w:szCs w:val="24"/>
        </w:rPr>
        <w:t>used to transform these parameters</w:t>
      </w:r>
      <w:r w:rsidR="007F100E" w:rsidRPr="00903BCB">
        <w:rPr>
          <w:sz w:val="24"/>
          <w:szCs w:val="24"/>
        </w:rPr>
        <w:t xml:space="preserve"> into indicators of deviation in relation to a certain threshold or national or local standard. </w:t>
      </w:r>
      <w:r w:rsidR="005F755F" w:rsidRPr="00903BCB">
        <w:rPr>
          <w:sz w:val="24"/>
          <w:szCs w:val="24"/>
        </w:rPr>
        <w:t>In addition, this could help mitigate</w:t>
      </w:r>
      <w:r w:rsidR="007F100E" w:rsidRPr="00903BCB">
        <w:rPr>
          <w:sz w:val="24"/>
          <w:szCs w:val="24"/>
        </w:rPr>
        <w:t xml:space="preserve"> the </w:t>
      </w:r>
      <w:r w:rsidR="005F755F" w:rsidRPr="00903BCB">
        <w:rPr>
          <w:sz w:val="24"/>
          <w:szCs w:val="24"/>
        </w:rPr>
        <w:t>issue of</w:t>
      </w:r>
      <w:r w:rsidR="007F100E" w:rsidRPr="00903BCB">
        <w:rPr>
          <w:sz w:val="24"/>
          <w:szCs w:val="24"/>
        </w:rPr>
        <w:t xml:space="preserve"> </w:t>
      </w:r>
      <w:r w:rsidR="005F755F" w:rsidRPr="00903BCB">
        <w:rPr>
          <w:sz w:val="24"/>
          <w:szCs w:val="24"/>
        </w:rPr>
        <w:t xml:space="preserve">statistical </w:t>
      </w:r>
      <w:r w:rsidR="00FC2559" w:rsidRPr="00903BCB">
        <w:rPr>
          <w:sz w:val="24"/>
          <w:szCs w:val="24"/>
        </w:rPr>
        <w:t>“</w:t>
      </w:r>
      <w:r w:rsidR="007F100E" w:rsidRPr="00903BCB">
        <w:rPr>
          <w:sz w:val="24"/>
          <w:szCs w:val="24"/>
        </w:rPr>
        <w:t>co</w:t>
      </w:r>
      <w:r w:rsidR="00FC2559" w:rsidRPr="00903BCB">
        <w:rPr>
          <w:sz w:val="24"/>
          <w:szCs w:val="24"/>
        </w:rPr>
        <w:t>-</w:t>
      </w:r>
      <w:r w:rsidR="007F100E" w:rsidRPr="00903BCB">
        <w:rPr>
          <w:sz w:val="24"/>
          <w:szCs w:val="24"/>
        </w:rPr>
        <w:t>linearity</w:t>
      </w:r>
      <w:r w:rsidR="00FC2559" w:rsidRPr="00903BCB">
        <w:rPr>
          <w:sz w:val="24"/>
          <w:szCs w:val="24"/>
        </w:rPr>
        <w:t>”</w:t>
      </w:r>
      <w:r w:rsidR="007F100E" w:rsidRPr="00903BCB">
        <w:rPr>
          <w:sz w:val="24"/>
          <w:szCs w:val="24"/>
        </w:rPr>
        <w:t xml:space="preserve"> between these </w:t>
      </w:r>
      <w:r w:rsidR="005F755F" w:rsidRPr="00903BCB">
        <w:rPr>
          <w:sz w:val="24"/>
          <w:szCs w:val="24"/>
        </w:rPr>
        <w:t>parameters</w:t>
      </w:r>
      <w:r w:rsidR="007F100E" w:rsidRPr="00903BCB">
        <w:rPr>
          <w:sz w:val="24"/>
          <w:szCs w:val="24"/>
        </w:rPr>
        <w:t xml:space="preserve"> and population and governorate area. </w:t>
      </w:r>
    </w:p>
    <w:p w14:paraId="4876BBF6" w14:textId="77777777" w:rsidR="004E2F12" w:rsidRPr="00903BCB" w:rsidRDefault="004E2F12" w:rsidP="00917540">
      <w:pPr>
        <w:spacing w:line="360" w:lineRule="auto"/>
        <w:ind w:left="0" w:right="0"/>
        <w:rPr>
          <w:sz w:val="24"/>
          <w:szCs w:val="24"/>
        </w:rPr>
      </w:pPr>
    </w:p>
    <w:p w14:paraId="0E15ADED" w14:textId="50CCC5FF" w:rsidR="0096673D" w:rsidRPr="00903BCB" w:rsidRDefault="004E2F12" w:rsidP="0096673D">
      <w:pPr>
        <w:spacing w:line="360" w:lineRule="auto"/>
        <w:ind w:left="0" w:right="0"/>
        <w:rPr>
          <w:sz w:val="24"/>
          <w:szCs w:val="24"/>
        </w:rPr>
      </w:pPr>
      <w:r w:rsidRPr="00903BCB">
        <w:rPr>
          <w:sz w:val="24"/>
          <w:szCs w:val="24"/>
        </w:rPr>
        <w:t xml:space="preserve">Given the </w:t>
      </w:r>
      <w:r w:rsidR="006304EF" w:rsidRPr="00903BCB">
        <w:rPr>
          <w:sz w:val="24"/>
          <w:szCs w:val="24"/>
        </w:rPr>
        <w:t xml:space="preserve">apparent </w:t>
      </w:r>
      <w:r w:rsidRPr="00903BCB">
        <w:rPr>
          <w:sz w:val="24"/>
          <w:szCs w:val="24"/>
        </w:rPr>
        <w:t xml:space="preserve">mismatch between </w:t>
      </w:r>
      <w:r w:rsidR="0096673D" w:rsidRPr="00903BCB">
        <w:rPr>
          <w:sz w:val="24"/>
          <w:szCs w:val="24"/>
        </w:rPr>
        <w:t xml:space="preserve">policy goals to alleviate </w:t>
      </w:r>
      <w:r w:rsidRPr="00903BCB">
        <w:rPr>
          <w:sz w:val="24"/>
          <w:szCs w:val="24"/>
        </w:rPr>
        <w:t xml:space="preserve">poverty and unemployment </w:t>
      </w:r>
      <w:r w:rsidR="00923A4A" w:rsidRPr="00903BCB">
        <w:rPr>
          <w:sz w:val="24"/>
          <w:szCs w:val="24"/>
        </w:rPr>
        <w:t xml:space="preserve">and </w:t>
      </w:r>
      <w:r w:rsidRPr="00903BCB">
        <w:rPr>
          <w:sz w:val="24"/>
          <w:szCs w:val="24"/>
        </w:rPr>
        <w:t>transfer</w:t>
      </w:r>
      <w:r w:rsidR="0096673D" w:rsidRPr="00903BCB">
        <w:rPr>
          <w:sz w:val="24"/>
          <w:szCs w:val="24"/>
        </w:rPr>
        <w:t xml:space="preserve"> criteria</w:t>
      </w:r>
      <w:r w:rsidRPr="00903BCB">
        <w:rPr>
          <w:sz w:val="24"/>
          <w:szCs w:val="24"/>
        </w:rPr>
        <w:t xml:space="preserve"> in Jordan</w:t>
      </w:r>
      <w:r w:rsidR="007C52EC" w:rsidRPr="00903BCB">
        <w:rPr>
          <w:sz w:val="24"/>
          <w:szCs w:val="24"/>
        </w:rPr>
        <w:t xml:space="preserve">, </w:t>
      </w:r>
      <w:r w:rsidR="00923A4A" w:rsidRPr="00903BCB">
        <w:rPr>
          <w:sz w:val="24"/>
          <w:szCs w:val="24"/>
        </w:rPr>
        <w:t xml:space="preserve">there is </w:t>
      </w:r>
      <w:r w:rsidR="001A039C" w:rsidRPr="00903BCB">
        <w:rPr>
          <w:sz w:val="24"/>
          <w:szCs w:val="24"/>
        </w:rPr>
        <w:t>room to argue</w:t>
      </w:r>
      <w:r w:rsidR="00A856C8" w:rsidRPr="00903BCB">
        <w:rPr>
          <w:sz w:val="24"/>
          <w:szCs w:val="24"/>
        </w:rPr>
        <w:t xml:space="preserve"> that </w:t>
      </w:r>
      <w:r w:rsidR="0096673D" w:rsidRPr="00903BCB">
        <w:rPr>
          <w:sz w:val="24"/>
          <w:szCs w:val="24"/>
        </w:rPr>
        <w:t xml:space="preserve">these </w:t>
      </w:r>
      <w:r w:rsidR="00781BBF" w:rsidRPr="00903BCB">
        <w:rPr>
          <w:sz w:val="24"/>
          <w:szCs w:val="24"/>
        </w:rPr>
        <w:t xml:space="preserve">two </w:t>
      </w:r>
      <w:r w:rsidR="0096673D" w:rsidRPr="00903BCB">
        <w:rPr>
          <w:sz w:val="24"/>
          <w:szCs w:val="24"/>
        </w:rPr>
        <w:t>variables</w:t>
      </w:r>
      <w:r w:rsidRPr="00903BCB">
        <w:rPr>
          <w:sz w:val="24"/>
          <w:szCs w:val="24"/>
        </w:rPr>
        <w:t xml:space="preserve"> should be</w:t>
      </w:r>
      <w:r w:rsidR="00923A4A" w:rsidRPr="00903BCB">
        <w:rPr>
          <w:sz w:val="24"/>
          <w:szCs w:val="24"/>
        </w:rPr>
        <w:t xml:space="preserve"> more </w:t>
      </w:r>
      <w:r w:rsidR="001A039C" w:rsidRPr="00903BCB">
        <w:rPr>
          <w:sz w:val="24"/>
          <w:szCs w:val="24"/>
        </w:rPr>
        <w:t xml:space="preserve">heavily </w:t>
      </w:r>
      <w:r w:rsidR="00781BBF" w:rsidRPr="00903BCB">
        <w:rPr>
          <w:sz w:val="24"/>
          <w:szCs w:val="24"/>
        </w:rPr>
        <w:t>factored in</w:t>
      </w:r>
      <w:r w:rsidR="006304EF" w:rsidRPr="00903BCB">
        <w:rPr>
          <w:sz w:val="24"/>
          <w:szCs w:val="24"/>
        </w:rPr>
        <w:t>to</w:t>
      </w:r>
      <w:r w:rsidRPr="00903BCB">
        <w:rPr>
          <w:sz w:val="24"/>
          <w:szCs w:val="24"/>
        </w:rPr>
        <w:t xml:space="preserve"> </w:t>
      </w:r>
      <w:r w:rsidR="00781BBF" w:rsidRPr="00903BCB">
        <w:rPr>
          <w:sz w:val="24"/>
          <w:szCs w:val="24"/>
        </w:rPr>
        <w:t>the distribution of national resources across governorates</w:t>
      </w:r>
      <w:r w:rsidRPr="00903BCB">
        <w:rPr>
          <w:sz w:val="24"/>
          <w:szCs w:val="24"/>
        </w:rPr>
        <w:t xml:space="preserve">. </w:t>
      </w:r>
      <w:r w:rsidR="00781BBF" w:rsidRPr="00903BCB">
        <w:rPr>
          <w:sz w:val="24"/>
          <w:szCs w:val="24"/>
        </w:rPr>
        <w:t xml:space="preserve">The current transfer regime </w:t>
      </w:r>
      <w:r w:rsidR="00272F61" w:rsidRPr="00903BCB">
        <w:rPr>
          <w:sz w:val="24"/>
          <w:szCs w:val="24"/>
        </w:rPr>
        <w:t>is overwhelmingly</w:t>
      </w:r>
      <w:r w:rsidR="00781BBF" w:rsidRPr="00903BCB">
        <w:rPr>
          <w:sz w:val="24"/>
          <w:szCs w:val="24"/>
        </w:rPr>
        <w:t xml:space="preserve"> urban-biased</w:t>
      </w:r>
      <w:r w:rsidR="002E5FCA" w:rsidRPr="00903BCB">
        <w:rPr>
          <w:sz w:val="24"/>
          <w:szCs w:val="24"/>
        </w:rPr>
        <w:t>,</w:t>
      </w:r>
      <w:r w:rsidR="00A856C8" w:rsidRPr="00903BCB">
        <w:rPr>
          <w:sz w:val="24"/>
          <w:szCs w:val="24"/>
        </w:rPr>
        <w:t xml:space="preserve"> </w:t>
      </w:r>
      <w:r w:rsidR="001A039C" w:rsidRPr="00903BCB">
        <w:rPr>
          <w:sz w:val="24"/>
          <w:szCs w:val="24"/>
        </w:rPr>
        <w:t xml:space="preserve">in that population </w:t>
      </w:r>
      <w:r w:rsidR="00A856C8" w:rsidRPr="00903BCB">
        <w:rPr>
          <w:sz w:val="24"/>
          <w:szCs w:val="24"/>
        </w:rPr>
        <w:t xml:space="preserve">size </w:t>
      </w:r>
      <w:r w:rsidR="001A039C" w:rsidRPr="00903BCB">
        <w:rPr>
          <w:sz w:val="24"/>
          <w:szCs w:val="24"/>
        </w:rPr>
        <w:t>trumps</w:t>
      </w:r>
      <w:r w:rsidR="00781BBF" w:rsidRPr="00903BCB">
        <w:rPr>
          <w:sz w:val="24"/>
          <w:szCs w:val="24"/>
        </w:rPr>
        <w:t xml:space="preserve"> </w:t>
      </w:r>
      <w:r w:rsidR="00A856C8" w:rsidRPr="00903BCB">
        <w:rPr>
          <w:sz w:val="24"/>
          <w:szCs w:val="24"/>
        </w:rPr>
        <w:t xml:space="preserve">other socio-economic </w:t>
      </w:r>
      <w:r w:rsidR="00272F61" w:rsidRPr="00903BCB">
        <w:rPr>
          <w:sz w:val="24"/>
          <w:szCs w:val="24"/>
        </w:rPr>
        <w:t xml:space="preserve">decision </w:t>
      </w:r>
      <w:r w:rsidR="00A856C8" w:rsidRPr="00903BCB">
        <w:rPr>
          <w:sz w:val="24"/>
          <w:szCs w:val="24"/>
        </w:rPr>
        <w:t>considerations</w:t>
      </w:r>
      <w:r w:rsidR="001A039C" w:rsidRPr="00903BCB">
        <w:rPr>
          <w:sz w:val="24"/>
          <w:szCs w:val="24"/>
        </w:rPr>
        <w:t>,</w:t>
      </w:r>
      <w:r w:rsidR="00A856C8" w:rsidRPr="00903BCB">
        <w:rPr>
          <w:sz w:val="24"/>
          <w:szCs w:val="24"/>
        </w:rPr>
        <w:t xml:space="preserve"> such as </w:t>
      </w:r>
      <w:r w:rsidR="003A61DC" w:rsidRPr="00903BCB">
        <w:rPr>
          <w:sz w:val="24"/>
          <w:szCs w:val="24"/>
        </w:rPr>
        <w:t xml:space="preserve">poverty and unemployment rates. </w:t>
      </w:r>
      <w:r w:rsidR="002E5FCA" w:rsidRPr="00903BCB">
        <w:rPr>
          <w:sz w:val="24"/>
          <w:szCs w:val="24"/>
        </w:rPr>
        <w:t xml:space="preserve">This is particularly problematic </w:t>
      </w:r>
      <w:r w:rsidR="00F13383" w:rsidRPr="00903BCB">
        <w:rPr>
          <w:sz w:val="24"/>
          <w:szCs w:val="24"/>
        </w:rPr>
        <w:t xml:space="preserve">for Jordan </w:t>
      </w:r>
      <w:r w:rsidR="002E5FCA" w:rsidRPr="00903BCB">
        <w:rPr>
          <w:sz w:val="24"/>
          <w:szCs w:val="24"/>
        </w:rPr>
        <w:t>because</w:t>
      </w:r>
      <w:r w:rsidR="006A41DA" w:rsidRPr="00903BCB">
        <w:rPr>
          <w:sz w:val="24"/>
          <w:szCs w:val="24"/>
        </w:rPr>
        <w:t xml:space="preserve"> per-capita costs of public services</w:t>
      </w:r>
      <w:r w:rsidR="00272F61" w:rsidRPr="00903BCB">
        <w:rPr>
          <w:sz w:val="24"/>
          <w:szCs w:val="24"/>
        </w:rPr>
        <w:t>, which</w:t>
      </w:r>
      <w:r w:rsidR="006A41DA" w:rsidRPr="00903BCB">
        <w:rPr>
          <w:sz w:val="24"/>
          <w:szCs w:val="24"/>
        </w:rPr>
        <w:t xml:space="preserve"> </w:t>
      </w:r>
      <w:r w:rsidR="00272F61" w:rsidRPr="00903BCB">
        <w:rPr>
          <w:sz w:val="24"/>
          <w:szCs w:val="24"/>
        </w:rPr>
        <w:t xml:space="preserve">typically </w:t>
      </w:r>
      <w:r w:rsidR="00F13383" w:rsidRPr="00903BCB">
        <w:rPr>
          <w:sz w:val="24"/>
          <w:szCs w:val="24"/>
        </w:rPr>
        <w:t xml:space="preserve">correlate negatively </w:t>
      </w:r>
      <w:r w:rsidR="00272F61" w:rsidRPr="00903BCB">
        <w:rPr>
          <w:sz w:val="24"/>
          <w:szCs w:val="24"/>
        </w:rPr>
        <w:t>with</w:t>
      </w:r>
      <w:r w:rsidR="00F13383" w:rsidRPr="00903BCB">
        <w:rPr>
          <w:sz w:val="24"/>
          <w:szCs w:val="24"/>
        </w:rPr>
        <w:t xml:space="preserve"> population densities, coincide precisely with governorates with </w:t>
      </w:r>
      <w:r w:rsidR="006A41DA" w:rsidRPr="00903BCB">
        <w:rPr>
          <w:sz w:val="24"/>
          <w:szCs w:val="24"/>
        </w:rPr>
        <w:t xml:space="preserve">the highest poverty and unemployment </w:t>
      </w:r>
      <w:r w:rsidR="00F13383" w:rsidRPr="00903BCB">
        <w:rPr>
          <w:sz w:val="24"/>
          <w:szCs w:val="24"/>
        </w:rPr>
        <w:t>rates</w:t>
      </w:r>
      <w:r w:rsidR="0096673D" w:rsidRPr="00903BCB">
        <w:rPr>
          <w:sz w:val="24"/>
          <w:szCs w:val="24"/>
        </w:rPr>
        <w:t>.</w:t>
      </w:r>
      <w:r w:rsidR="0096673D" w:rsidRPr="00903BCB">
        <w:rPr>
          <w:sz w:val="24"/>
          <w:szCs w:val="24"/>
          <w:highlight w:val="yellow"/>
        </w:rPr>
        <w:t xml:space="preserve"> </w:t>
      </w:r>
    </w:p>
    <w:p w14:paraId="59B6F9F9" w14:textId="00DA8B40" w:rsidR="005D721A" w:rsidRPr="00903BCB" w:rsidRDefault="003C76C9" w:rsidP="00917540">
      <w:pPr>
        <w:spacing w:line="360" w:lineRule="auto"/>
        <w:ind w:left="0" w:right="0"/>
        <w:rPr>
          <w:b/>
          <w:sz w:val="24"/>
          <w:szCs w:val="24"/>
        </w:rPr>
      </w:pPr>
      <w:r w:rsidRPr="00903BCB">
        <w:rPr>
          <w:b/>
          <w:sz w:val="24"/>
          <w:szCs w:val="24"/>
        </w:rPr>
        <w:t>7</w:t>
      </w:r>
      <w:r w:rsidR="005D721A" w:rsidRPr="00903BCB">
        <w:rPr>
          <w:b/>
          <w:sz w:val="24"/>
          <w:szCs w:val="24"/>
        </w:rPr>
        <w:t xml:space="preserve">. Conclusions and </w:t>
      </w:r>
      <w:r w:rsidR="00302F48" w:rsidRPr="00903BCB">
        <w:rPr>
          <w:b/>
          <w:sz w:val="24"/>
          <w:szCs w:val="24"/>
        </w:rPr>
        <w:t>F</w:t>
      </w:r>
      <w:r w:rsidR="005D721A" w:rsidRPr="00903BCB">
        <w:rPr>
          <w:b/>
          <w:sz w:val="24"/>
          <w:szCs w:val="24"/>
        </w:rPr>
        <w:t xml:space="preserve">urther </w:t>
      </w:r>
      <w:r w:rsidR="00302F48" w:rsidRPr="00903BCB">
        <w:rPr>
          <w:b/>
          <w:sz w:val="24"/>
          <w:szCs w:val="24"/>
        </w:rPr>
        <w:t>R</w:t>
      </w:r>
      <w:r w:rsidR="005D721A" w:rsidRPr="00903BCB">
        <w:rPr>
          <w:b/>
          <w:sz w:val="24"/>
          <w:szCs w:val="24"/>
        </w:rPr>
        <w:t>esearch</w:t>
      </w:r>
    </w:p>
    <w:p w14:paraId="5BA0AB6F" w14:textId="1D0E3A39" w:rsidR="00DB1886" w:rsidRPr="00903BCB" w:rsidRDefault="008F6A53" w:rsidP="005D4AB2">
      <w:pPr>
        <w:spacing w:line="360" w:lineRule="auto"/>
        <w:ind w:left="0" w:right="0"/>
        <w:rPr>
          <w:sz w:val="24"/>
          <w:szCs w:val="24"/>
        </w:rPr>
      </w:pPr>
      <w:r w:rsidRPr="00903BCB">
        <w:rPr>
          <w:sz w:val="24"/>
          <w:szCs w:val="24"/>
        </w:rPr>
        <w:t>D</w:t>
      </w:r>
      <w:r w:rsidR="00145791" w:rsidRPr="00903BCB">
        <w:rPr>
          <w:sz w:val="24"/>
          <w:szCs w:val="24"/>
        </w:rPr>
        <w:t>ecentraliz</w:t>
      </w:r>
      <w:r w:rsidR="00FE4EFA" w:rsidRPr="00903BCB">
        <w:rPr>
          <w:sz w:val="24"/>
          <w:szCs w:val="24"/>
        </w:rPr>
        <w:t>ation, in general, and fiscal decentralizat</w:t>
      </w:r>
      <w:r w:rsidR="007C1737" w:rsidRPr="00903BCB">
        <w:rPr>
          <w:sz w:val="24"/>
          <w:szCs w:val="24"/>
        </w:rPr>
        <w:t>ion in particular</w:t>
      </w:r>
      <w:r w:rsidR="00FE4EFA" w:rsidRPr="00903BCB">
        <w:rPr>
          <w:sz w:val="24"/>
          <w:szCs w:val="24"/>
        </w:rPr>
        <w:t xml:space="preserve">, </w:t>
      </w:r>
      <w:r w:rsidR="00355F08" w:rsidRPr="00903BCB">
        <w:rPr>
          <w:sz w:val="24"/>
          <w:szCs w:val="24"/>
        </w:rPr>
        <w:t>are</w:t>
      </w:r>
      <w:r w:rsidR="00FE4EFA" w:rsidRPr="00903BCB">
        <w:rPr>
          <w:sz w:val="24"/>
          <w:szCs w:val="24"/>
        </w:rPr>
        <w:t xml:space="preserve"> still in </w:t>
      </w:r>
      <w:r w:rsidR="00355F08" w:rsidRPr="00903BCB">
        <w:rPr>
          <w:sz w:val="24"/>
          <w:szCs w:val="24"/>
        </w:rPr>
        <w:t>nascent</w:t>
      </w:r>
      <w:r w:rsidR="00FE4EFA" w:rsidRPr="00903BCB">
        <w:rPr>
          <w:sz w:val="24"/>
          <w:szCs w:val="24"/>
        </w:rPr>
        <w:t xml:space="preserve"> stages in Jordan</w:t>
      </w:r>
      <w:r w:rsidR="00145791" w:rsidRPr="00903BCB">
        <w:rPr>
          <w:sz w:val="24"/>
          <w:szCs w:val="24"/>
        </w:rPr>
        <w:t>.</w:t>
      </w:r>
      <w:r w:rsidRPr="00903BCB">
        <w:rPr>
          <w:sz w:val="24"/>
          <w:szCs w:val="24"/>
        </w:rPr>
        <w:t xml:space="preserve"> Much has been written and discussed the past </w:t>
      </w:r>
      <w:r w:rsidR="00302F48" w:rsidRPr="00903BCB">
        <w:rPr>
          <w:sz w:val="24"/>
          <w:szCs w:val="24"/>
        </w:rPr>
        <w:t>fifteen</w:t>
      </w:r>
      <w:r w:rsidRPr="00903BCB">
        <w:rPr>
          <w:sz w:val="24"/>
          <w:szCs w:val="24"/>
        </w:rPr>
        <w:t xml:space="preserve"> years</w:t>
      </w:r>
      <w:r w:rsidR="00302F48" w:rsidRPr="00903BCB">
        <w:rPr>
          <w:sz w:val="24"/>
          <w:szCs w:val="24"/>
        </w:rPr>
        <w:t>,</w:t>
      </w:r>
      <w:r w:rsidRPr="00903BCB">
        <w:rPr>
          <w:sz w:val="24"/>
          <w:szCs w:val="24"/>
        </w:rPr>
        <w:t xml:space="preserve"> but it remains very unclear what national </w:t>
      </w:r>
      <w:r w:rsidR="00DB1886" w:rsidRPr="00903BCB">
        <w:rPr>
          <w:sz w:val="24"/>
          <w:szCs w:val="24"/>
        </w:rPr>
        <w:t>strategy, if any</w:t>
      </w:r>
      <w:r w:rsidR="00302F48" w:rsidRPr="00903BCB">
        <w:rPr>
          <w:sz w:val="24"/>
          <w:szCs w:val="24"/>
        </w:rPr>
        <w:t>,</w:t>
      </w:r>
      <w:r w:rsidR="00DB1886" w:rsidRPr="00903BCB">
        <w:rPr>
          <w:sz w:val="24"/>
          <w:szCs w:val="24"/>
        </w:rPr>
        <w:t xml:space="preserve"> is effectively in place for the transfer of political power and financial resources from the central government in Amman to peripheral governorates. </w:t>
      </w:r>
      <w:r w:rsidR="00762C25" w:rsidRPr="00903BCB">
        <w:rPr>
          <w:sz w:val="24"/>
          <w:szCs w:val="24"/>
        </w:rPr>
        <w:t xml:space="preserve">The </w:t>
      </w:r>
      <w:r w:rsidR="004A3F08" w:rsidRPr="00903BCB">
        <w:rPr>
          <w:sz w:val="24"/>
          <w:szCs w:val="24"/>
        </w:rPr>
        <w:t xml:space="preserve">ambiguity at the national level combined with the </w:t>
      </w:r>
      <w:r w:rsidRPr="00903BCB">
        <w:rPr>
          <w:sz w:val="24"/>
          <w:szCs w:val="24"/>
        </w:rPr>
        <w:t xml:space="preserve">lack of </w:t>
      </w:r>
      <w:r w:rsidR="00DB1886" w:rsidRPr="00903BCB">
        <w:rPr>
          <w:sz w:val="24"/>
          <w:szCs w:val="24"/>
        </w:rPr>
        <w:t xml:space="preserve">technical and management </w:t>
      </w:r>
      <w:r w:rsidRPr="00903BCB">
        <w:rPr>
          <w:sz w:val="24"/>
          <w:szCs w:val="24"/>
        </w:rPr>
        <w:t xml:space="preserve">capacity at </w:t>
      </w:r>
      <w:r w:rsidR="00E146BE" w:rsidRPr="00903BCB">
        <w:rPr>
          <w:sz w:val="24"/>
          <w:szCs w:val="24"/>
        </w:rPr>
        <w:t xml:space="preserve">the </w:t>
      </w:r>
      <w:r w:rsidR="00355F08" w:rsidRPr="00903BCB">
        <w:rPr>
          <w:sz w:val="24"/>
          <w:szCs w:val="24"/>
        </w:rPr>
        <w:t>g</w:t>
      </w:r>
      <w:r w:rsidR="00801F5F" w:rsidRPr="00903BCB">
        <w:rPr>
          <w:sz w:val="24"/>
          <w:szCs w:val="24"/>
        </w:rPr>
        <w:t>overnorate level</w:t>
      </w:r>
      <w:r w:rsidR="00E146BE" w:rsidRPr="00903BCB">
        <w:rPr>
          <w:sz w:val="24"/>
          <w:szCs w:val="24"/>
        </w:rPr>
        <w:t xml:space="preserve"> </w:t>
      </w:r>
      <w:r w:rsidR="00CA2CA4" w:rsidRPr="00903BCB">
        <w:rPr>
          <w:sz w:val="24"/>
          <w:szCs w:val="24"/>
        </w:rPr>
        <w:t xml:space="preserve">partly </w:t>
      </w:r>
      <w:r w:rsidRPr="00903BCB">
        <w:rPr>
          <w:sz w:val="24"/>
          <w:szCs w:val="24"/>
        </w:rPr>
        <w:t>e</w:t>
      </w:r>
      <w:r w:rsidR="00DB1886" w:rsidRPr="00903BCB">
        <w:rPr>
          <w:sz w:val="24"/>
          <w:szCs w:val="24"/>
        </w:rPr>
        <w:t>xplain the absence of clear and stable rules for the calculation of amounts to be transferred to the local level.</w:t>
      </w:r>
    </w:p>
    <w:p w14:paraId="3DDDA355" w14:textId="77777777" w:rsidR="009461CE" w:rsidRPr="00903BCB" w:rsidRDefault="009461CE" w:rsidP="00801F5F">
      <w:pPr>
        <w:spacing w:line="360" w:lineRule="auto"/>
        <w:ind w:left="0" w:right="0"/>
        <w:rPr>
          <w:sz w:val="24"/>
          <w:szCs w:val="24"/>
        </w:rPr>
      </w:pPr>
    </w:p>
    <w:p w14:paraId="7ACFBDD4" w14:textId="4A949E1D" w:rsidR="009461CE" w:rsidRPr="00903BCB" w:rsidRDefault="009461CE" w:rsidP="00801F5F">
      <w:pPr>
        <w:spacing w:line="360" w:lineRule="auto"/>
        <w:ind w:left="0" w:right="0"/>
        <w:rPr>
          <w:sz w:val="24"/>
          <w:szCs w:val="24"/>
        </w:rPr>
      </w:pPr>
      <w:r w:rsidRPr="00903BCB">
        <w:rPr>
          <w:sz w:val="24"/>
          <w:szCs w:val="24"/>
        </w:rPr>
        <w:t xml:space="preserve">First, </w:t>
      </w:r>
      <w:r w:rsidR="002B4C3F" w:rsidRPr="00903BCB">
        <w:rPr>
          <w:sz w:val="24"/>
          <w:szCs w:val="24"/>
        </w:rPr>
        <w:t xml:space="preserve">not very different from the situation in </w:t>
      </w:r>
      <w:r w:rsidR="00E11A36" w:rsidRPr="00903BCB">
        <w:rPr>
          <w:sz w:val="24"/>
          <w:szCs w:val="24"/>
        </w:rPr>
        <w:t xml:space="preserve">other countries, </w:t>
      </w:r>
      <w:r w:rsidRPr="00903BCB">
        <w:rPr>
          <w:sz w:val="24"/>
          <w:szCs w:val="24"/>
        </w:rPr>
        <w:t xml:space="preserve">there is no clear distinction between the political, fiscal and administrative aspects of decentralization and the sequence by which they should occur. Second, much more emphasis has been </w:t>
      </w:r>
      <w:r w:rsidR="00A562E9" w:rsidRPr="00903BCB">
        <w:rPr>
          <w:sz w:val="24"/>
          <w:szCs w:val="24"/>
        </w:rPr>
        <w:t>placed on</w:t>
      </w:r>
      <w:r w:rsidRPr="00903BCB">
        <w:rPr>
          <w:sz w:val="24"/>
          <w:szCs w:val="24"/>
        </w:rPr>
        <w:t xml:space="preserve"> aspects of administrative decentralization than </w:t>
      </w:r>
      <w:r w:rsidR="00A562E9" w:rsidRPr="00903BCB">
        <w:rPr>
          <w:sz w:val="24"/>
          <w:szCs w:val="24"/>
        </w:rPr>
        <w:t>on</w:t>
      </w:r>
      <w:r w:rsidRPr="00903BCB">
        <w:rPr>
          <w:sz w:val="24"/>
          <w:szCs w:val="24"/>
        </w:rPr>
        <w:t xml:space="preserve"> the transfer of political power and financial resources from the central government to governorates necessary to increase the degree of autonomy, capacity of subnational government, t</w:t>
      </w:r>
      <w:r w:rsidR="00DD4021" w:rsidRPr="00903BCB">
        <w:rPr>
          <w:sz w:val="24"/>
          <w:szCs w:val="24"/>
        </w:rPr>
        <w:t xml:space="preserve">ransparency and accountability. </w:t>
      </w:r>
      <w:r w:rsidR="00975DE8" w:rsidRPr="00903BCB">
        <w:rPr>
          <w:sz w:val="24"/>
          <w:szCs w:val="24"/>
        </w:rPr>
        <w:t>M</w:t>
      </w:r>
      <w:r w:rsidR="00C20A76" w:rsidRPr="00903BCB">
        <w:rPr>
          <w:sz w:val="24"/>
          <w:szCs w:val="24"/>
        </w:rPr>
        <w:t xml:space="preserve">any countries </w:t>
      </w:r>
      <w:r w:rsidR="00975DE8" w:rsidRPr="00903BCB">
        <w:rPr>
          <w:sz w:val="24"/>
          <w:szCs w:val="24"/>
        </w:rPr>
        <w:t>only decon</w:t>
      </w:r>
      <w:r w:rsidR="002B4C3F" w:rsidRPr="00903BCB">
        <w:rPr>
          <w:sz w:val="24"/>
          <w:szCs w:val="24"/>
        </w:rPr>
        <w:t xml:space="preserve">centrate to </w:t>
      </w:r>
      <w:r w:rsidR="00975DE8" w:rsidRPr="00903BCB">
        <w:rPr>
          <w:sz w:val="24"/>
          <w:szCs w:val="24"/>
        </w:rPr>
        <w:t>intermediate levels.</w:t>
      </w:r>
      <w:r w:rsidR="002B4C3F" w:rsidRPr="00903BCB">
        <w:rPr>
          <w:sz w:val="24"/>
          <w:szCs w:val="24"/>
        </w:rPr>
        <w:t xml:space="preserve"> </w:t>
      </w:r>
      <w:r w:rsidR="00975DE8" w:rsidRPr="00903BCB">
        <w:rPr>
          <w:sz w:val="24"/>
          <w:szCs w:val="24"/>
        </w:rPr>
        <w:t xml:space="preserve">However, </w:t>
      </w:r>
      <w:r w:rsidR="00DD4021" w:rsidRPr="00903BCB">
        <w:rPr>
          <w:sz w:val="24"/>
          <w:szCs w:val="24"/>
        </w:rPr>
        <w:t xml:space="preserve">in many of these cases, contrary to the </w:t>
      </w:r>
      <w:r w:rsidR="002352FF" w:rsidRPr="00903BCB">
        <w:rPr>
          <w:sz w:val="24"/>
          <w:szCs w:val="24"/>
        </w:rPr>
        <w:t xml:space="preserve">municipality experience in </w:t>
      </w:r>
      <w:r w:rsidR="00644DC1" w:rsidRPr="00903BCB">
        <w:rPr>
          <w:sz w:val="24"/>
          <w:szCs w:val="24"/>
        </w:rPr>
        <w:t>Jordan</w:t>
      </w:r>
      <w:r w:rsidR="00DD4021" w:rsidRPr="00903BCB">
        <w:rPr>
          <w:sz w:val="24"/>
          <w:szCs w:val="24"/>
        </w:rPr>
        <w:t>, devolutio</w:t>
      </w:r>
      <w:r w:rsidR="007C52EC" w:rsidRPr="00903BCB">
        <w:rPr>
          <w:sz w:val="24"/>
          <w:szCs w:val="24"/>
        </w:rPr>
        <w:t>n</w:t>
      </w:r>
      <w:r w:rsidR="002352FF" w:rsidRPr="00903BCB">
        <w:rPr>
          <w:sz w:val="24"/>
          <w:szCs w:val="24"/>
        </w:rPr>
        <w:t xml:space="preserve"> </w:t>
      </w:r>
      <w:r w:rsidR="00DD4021" w:rsidRPr="00903BCB">
        <w:rPr>
          <w:sz w:val="24"/>
          <w:szCs w:val="24"/>
        </w:rPr>
        <w:t>effective</w:t>
      </w:r>
      <w:r w:rsidR="00644DC1" w:rsidRPr="00903BCB">
        <w:rPr>
          <w:sz w:val="24"/>
          <w:szCs w:val="24"/>
        </w:rPr>
        <w:t xml:space="preserve">ly </w:t>
      </w:r>
      <w:r w:rsidR="002352FF" w:rsidRPr="00903BCB">
        <w:rPr>
          <w:sz w:val="24"/>
          <w:szCs w:val="24"/>
        </w:rPr>
        <w:t>empower</w:t>
      </w:r>
      <w:r w:rsidR="001632CC" w:rsidRPr="00903BCB">
        <w:rPr>
          <w:sz w:val="24"/>
          <w:szCs w:val="24"/>
        </w:rPr>
        <w:t>s</w:t>
      </w:r>
      <w:r w:rsidR="002352FF" w:rsidRPr="00903BCB">
        <w:rPr>
          <w:sz w:val="24"/>
          <w:szCs w:val="24"/>
        </w:rPr>
        <w:t xml:space="preserve"> lower administrative levels</w:t>
      </w:r>
      <w:r w:rsidR="00DD4021" w:rsidRPr="00903BCB">
        <w:rPr>
          <w:sz w:val="24"/>
          <w:szCs w:val="24"/>
        </w:rPr>
        <w:t xml:space="preserve">. </w:t>
      </w:r>
      <w:r w:rsidRPr="00903BCB">
        <w:rPr>
          <w:sz w:val="24"/>
          <w:szCs w:val="24"/>
        </w:rPr>
        <w:t>Third, the little that has been written about the autonomy of governorates is not accompanied by an intergovernmental transfer system to allocate national revenues to subnational governments</w:t>
      </w:r>
      <w:r w:rsidR="00F16AFE" w:rsidRPr="00903BCB">
        <w:rPr>
          <w:sz w:val="24"/>
          <w:szCs w:val="24"/>
        </w:rPr>
        <w:t>.</w:t>
      </w:r>
    </w:p>
    <w:p w14:paraId="2B065E2E" w14:textId="77777777" w:rsidR="00AC6B51" w:rsidRPr="00903BCB" w:rsidRDefault="00AC6B51" w:rsidP="00801F5F">
      <w:pPr>
        <w:spacing w:line="360" w:lineRule="auto"/>
        <w:ind w:left="0" w:right="0"/>
        <w:rPr>
          <w:sz w:val="24"/>
          <w:szCs w:val="24"/>
        </w:rPr>
      </w:pPr>
    </w:p>
    <w:p w14:paraId="095A1585" w14:textId="04510140" w:rsidR="002F4268" w:rsidRPr="00903BCB" w:rsidRDefault="00DB1886" w:rsidP="00792899">
      <w:pPr>
        <w:spacing w:line="360" w:lineRule="auto"/>
        <w:ind w:left="0" w:right="0"/>
        <w:rPr>
          <w:sz w:val="24"/>
          <w:szCs w:val="24"/>
        </w:rPr>
      </w:pPr>
      <w:r w:rsidRPr="00903BCB">
        <w:rPr>
          <w:sz w:val="24"/>
          <w:szCs w:val="24"/>
        </w:rPr>
        <w:t xml:space="preserve">Decentralization is </w:t>
      </w:r>
      <w:r w:rsidR="00CA2CA4" w:rsidRPr="00903BCB">
        <w:rPr>
          <w:sz w:val="24"/>
          <w:szCs w:val="24"/>
        </w:rPr>
        <w:t>a long process and the</w:t>
      </w:r>
      <w:r w:rsidRPr="00903BCB">
        <w:rPr>
          <w:sz w:val="24"/>
          <w:szCs w:val="24"/>
        </w:rPr>
        <w:t xml:space="preserve"> implementation </w:t>
      </w:r>
      <w:r w:rsidR="00CA2CA4" w:rsidRPr="00903BCB">
        <w:rPr>
          <w:sz w:val="24"/>
          <w:szCs w:val="24"/>
        </w:rPr>
        <w:t xml:space="preserve">of </w:t>
      </w:r>
      <w:r w:rsidR="00355F08" w:rsidRPr="00903BCB">
        <w:rPr>
          <w:sz w:val="24"/>
          <w:szCs w:val="24"/>
        </w:rPr>
        <w:t xml:space="preserve">a </w:t>
      </w:r>
      <w:r w:rsidR="00866771" w:rsidRPr="00903BCB">
        <w:rPr>
          <w:sz w:val="24"/>
          <w:szCs w:val="24"/>
        </w:rPr>
        <w:t>transfer</w:t>
      </w:r>
      <w:r w:rsidR="00CA2CA4" w:rsidRPr="00903BCB">
        <w:rPr>
          <w:sz w:val="24"/>
          <w:szCs w:val="24"/>
        </w:rPr>
        <w:t xml:space="preserve"> formula </w:t>
      </w:r>
      <w:r w:rsidRPr="00903BCB">
        <w:rPr>
          <w:sz w:val="24"/>
          <w:szCs w:val="24"/>
        </w:rPr>
        <w:t>should occur gradually through several trial and error phases.</w:t>
      </w:r>
      <w:r w:rsidR="00866771" w:rsidRPr="00903BCB">
        <w:rPr>
          <w:sz w:val="24"/>
          <w:szCs w:val="24"/>
        </w:rPr>
        <w:t xml:space="preserve"> </w:t>
      </w:r>
      <w:r w:rsidR="00355F08" w:rsidRPr="00903BCB">
        <w:rPr>
          <w:sz w:val="24"/>
          <w:szCs w:val="24"/>
        </w:rPr>
        <w:t xml:space="preserve">As Bird and Smart (2001) point out, </w:t>
      </w:r>
      <w:r w:rsidR="00801F5F" w:rsidRPr="00903BCB">
        <w:rPr>
          <w:sz w:val="24"/>
          <w:szCs w:val="24"/>
        </w:rPr>
        <w:t>“</w:t>
      </w:r>
      <w:r w:rsidR="00866771" w:rsidRPr="00903BCB">
        <w:rPr>
          <w:sz w:val="24"/>
          <w:szCs w:val="24"/>
        </w:rPr>
        <w:t>[I]</w:t>
      </w:r>
      <w:r w:rsidR="00801F5F" w:rsidRPr="00903BCB">
        <w:rPr>
          <w:sz w:val="24"/>
          <w:szCs w:val="24"/>
        </w:rPr>
        <w:t>ntergovernmental fiscal transfers constitute only part of a complex political, economic, administrative system. Their design, role, and effects can be understood only in the specific institutional context in which they operate”</w:t>
      </w:r>
      <w:r w:rsidR="00355F08" w:rsidRPr="00903BCB">
        <w:rPr>
          <w:sz w:val="24"/>
          <w:szCs w:val="24"/>
        </w:rPr>
        <w:t xml:space="preserve"> (</w:t>
      </w:r>
      <w:r w:rsidR="00801F5F" w:rsidRPr="00903BCB">
        <w:rPr>
          <w:sz w:val="24"/>
          <w:szCs w:val="24"/>
        </w:rPr>
        <w:t xml:space="preserve">p. 10). </w:t>
      </w:r>
      <w:r w:rsidR="00887201" w:rsidRPr="00903BCB">
        <w:rPr>
          <w:sz w:val="24"/>
          <w:szCs w:val="24"/>
        </w:rPr>
        <w:t xml:space="preserve">This </w:t>
      </w:r>
      <w:r w:rsidR="00AA7920" w:rsidRPr="00903BCB">
        <w:rPr>
          <w:sz w:val="24"/>
          <w:szCs w:val="24"/>
        </w:rPr>
        <w:t>article</w:t>
      </w:r>
      <w:r w:rsidR="00355F08" w:rsidRPr="00903BCB">
        <w:rPr>
          <w:sz w:val="24"/>
          <w:szCs w:val="24"/>
        </w:rPr>
        <w:t xml:space="preserve"> </w:t>
      </w:r>
      <w:r w:rsidR="00887201" w:rsidRPr="00903BCB">
        <w:rPr>
          <w:sz w:val="24"/>
          <w:szCs w:val="24"/>
        </w:rPr>
        <w:t xml:space="preserve">is the first </w:t>
      </w:r>
      <w:r w:rsidR="00801F5F" w:rsidRPr="00903BCB">
        <w:rPr>
          <w:sz w:val="24"/>
          <w:szCs w:val="24"/>
        </w:rPr>
        <w:t>attempt to address the multidimensional problem of regulating monetary</w:t>
      </w:r>
      <w:r w:rsidR="00887201" w:rsidRPr="00903BCB">
        <w:rPr>
          <w:sz w:val="24"/>
          <w:szCs w:val="24"/>
        </w:rPr>
        <w:t xml:space="preserve"> transfer</w:t>
      </w:r>
      <w:r w:rsidR="00801F5F" w:rsidRPr="00903BCB">
        <w:rPr>
          <w:sz w:val="24"/>
          <w:szCs w:val="24"/>
        </w:rPr>
        <w:t>s</w:t>
      </w:r>
      <w:r w:rsidR="00887201" w:rsidRPr="00903BCB">
        <w:rPr>
          <w:sz w:val="24"/>
          <w:szCs w:val="24"/>
        </w:rPr>
        <w:t xml:space="preserve"> from the central government to governorates. </w:t>
      </w:r>
      <w:r w:rsidR="00801F5F" w:rsidRPr="00903BCB">
        <w:rPr>
          <w:sz w:val="24"/>
          <w:szCs w:val="24"/>
        </w:rPr>
        <w:t xml:space="preserve">Past practices are unclear and </w:t>
      </w:r>
      <w:r w:rsidR="00355F08" w:rsidRPr="00903BCB">
        <w:rPr>
          <w:sz w:val="24"/>
          <w:szCs w:val="24"/>
        </w:rPr>
        <w:t>ambiguous</w:t>
      </w:r>
      <w:r w:rsidR="00130F85" w:rsidRPr="00903BCB">
        <w:rPr>
          <w:sz w:val="24"/>
          <w:szCs w:val="24"/>
        </w:rPr>
        <w:t xml:space="preserve"> and</w:t>
      </w:r>
      <w:r w:rsidR="00801F5F" w:rsidRPr="00903BCB">
        <w:rPr>
          <w:sz w:val="24"/>
          <w:szCs w:val="24"/>
        </w:rPr>
        <w:t xml:space="preserve"> available </w:t>
      </w:r>
      <w:r w:rsidR="00355F08" w:rsidRPr="00903BCB">
        <w:rPr>
          <w:sz w:val="24"/>
          <w:szCs w:val="24"/>
        </w:rPr>
        <w:t>data is</w:t>
      </w:r>
      <w:r w:rsidR="00801F5F" w:rsidRPr="00903BCB">
        <w:rPr>
          <w:sz w:val="24"/>
          <w:szCs w:val="24"/>
        </w:rPr>
        <w:t xml:space="preserve"> insufficient vis-à-vis internation</w:t>
      </w:r>
      <w:r w:rsidR="00FF0387" w:rsidRPr="00903BCB">
        <w:rPr>
          <w:sz w:val="24"/>
          <w:szCs w:val="24"/>
        </w:rPr>
        <w:t>al experience</w:t>
      </w:r>
      <w:r w:rsidR="00367A7F" w:rsidRPr="00903BCB">
        <w:rPr>
          <w:sz w:val="24"/>
          <w:szCs w:val="24"/>
        </w:rPr>
        <w:t>.</w:t>
      </w:r>
      <w:r w:rsidR="00FF0387" w:rsidRPr="00903BCB">
        <w:rPr>
          <w:sz w:val="24"/>
          <w:szCs w:val="24"/>
        </w:rPr>
        <w:t xml:space="preserve"> </w:t>
      </w:r>
      <w:r w:rsidR="007C52EC" w:rsidRPr="00903BCB">
        <w:rPr>
          <w:sz w:val="24"/>
          <w:szCs w:val="24"/>
        </w:rPr>
        <w:t>In addition</w:t>
      </w:r>
      <w:r w:rsidR="00801F5F" w:rsidRPr="00903BCB">
        <w:rPr>
          <w:sz w:val="24"/>
          <w:szCs w:val="24"/>
        </w:rPr>
        <w:t>, Jordan</w:t>
      </w:r>
      <w:r w:rsidR="00FF0387" w:rsidRPr="00903BCB">
        <w:rPr>
          <w:sz w:val="24"/>
          <w:szCs w:val="24"/>
        </w:rPr>
        <w:t>ian decision-makers</w:t>
      </w:r>
      <w:r w:rsidR="00801F5F" w:rsidRPr="00903BCB">
        <w:rPr>
          <w:sz w:val="24"/>
          <w:szCs w:val="24"/>
        </w:rPr>
        <w:t xml:space="preserve"> </w:t>
      </w:r>
      <w:r w:rsidR="00FF0387" w:rsidRPr="00903BCB">
        <w:rPr>
          <w:sz w:val="24"/>
          <w:szCs w:val="24"/>
        </w:rPr>
        <w:t xml:space="preserve">seem to prefer to continuously </w:t>
      </w:r>
      <w:r w:rsidR="00AD4632" w:rsidRPr="00903BCB">
        <w:rPr>
          <w:sz w:val="24"/>
          <w:szCs w:val="24"/>
        </w:rPr>
        <w:t xml:space="preserve">postpone the beginning of a process </w:t>
      </w:r>
      <w:r w:rsidR="00FF0387" w:rsidRPr="00903BCB">
        <w:rPr>
          <w:sz w:val="24"/>
          <w:szCs w:val="24"/>
        </w:rPr>
        <w:t xml:space="preserve">that could </w:t>
      </w:r>
      <w:r w:rsidR="00AD4632" w:rsidRPr="00903BCB">
        <w:rPr>
          <w:sz w:val="24"/>
          <w:szCs w:val="24"/>
        </w:rPr>
        <w:t xml:space="preserve">start </w:t>
      </w:r>
      <w:r w:rsidR="00FF0387" w:rsidRPr="00903BCB">
        <w:rPr>
          <w:sz w:val="24"/>
          <w:szCs w:val="24"/>
        </w:rPr>
        <w:t>simpl</w:t>
      </w:r>
      <w:r w:rsidR="00367A7F" w:rsidRPr="00903BCB">
        <w:rPr>
          <w:sz w:val="24"/>
          <w:szCs w:val="24"/>
        </w:rPr>
        <w:t>y</w:t>
      </w:r>
      <w:r w:rsidR="00FF0387" w:rsidRPr="00903BCB">
        <w:rPr>
          <w:sz w:val="24"/>
          <w:szCs w:val="24"/>
        </w:rPr>
        <w:t xml:space="preserve"> </w:t>
      </w:r>
      <w:r w:rsidR="00AD4632" w:rsidRPr="00903BCB">
        <w:rPr>
          <w:sz w:val="24"/>
          <w:szCs w:val="24"/>
        </w:rPr>
        <w:t>and then</w:t>
      </w:r>
      <w:r w:rsidR="00887201" w:rsidRPr="00903BCB">
        <w:rPr>
          <w:sz w:val="24"/>
          <w:szCs w:val="24"/>
        </w:rPr>
        <w:t xml:space="preserve"> </w:t>
      </w:r>
      <w:r w:rsidR="00AD4632" w:rsidRPr="00903BCB">
        <w:rPr>
          <w:sz w:val="24"/>
          <w:szCs w:val="24"/>
        </w:rPr>
        <w:t>progressively be adapted and gain</w:t>
      </w:r>
      <w:r w:rsidR="00FF0387" w:rsidRPr="00903BCB">
        <w:rPr>
          <w:sz w:val="24"/>
          <w:szCs w:val="24"/>
        </w:rPr>
        <w:t xml:space="preserve"> </w:t>
      </w:r>
      <w:r w:rsidR="00887201" w:rsidRPr="00903BCB">
        <w:rPr>
          <w:sz w:val="24"/>
          <w:szCs w:val="24"/>
        </w:rPr>
        <w:t>complex</w:t>
      </w:r>
      <w:r w:rsidR="00FF0387" w:rsidRPr="00903BCB">
        <w:rPr>
          <w:sz w:val="24"/>
          <w:szCs w:val="24"/>
        </w:rPr>
        <w:t>ity</w:t>
      </w:r>
      <w:r w:rsidR="007C52EC" w:rsidRPr="00903BCB">
        <w:rPr>
          <w:sz w:val="24"/>
          <w:szCs w:val="24"/>
        </w:rPr>
        <w:t xml:space="preserve">. In this scenario, </w:t>
      </w:r>
      <w:r w:rsidR="00FF0387" w:rsidRPr="00903BCB">
        <w:rPr>
          <w:sz w:val="24"/>
          <w:szCs w:val="24"/>
        </w:rPr>
        <w:t xml:space="preserve">all parties </w:t>
      </w:r>
      <w:r w:rsidR="007C52EC" w:rsidRPr="00903BCB">
        <w:rPr>
          <w:sz w:val="24"/>
          <w:szCs w:val="24"/>
        </w:rPr>
        <w:t xml:space="preserve">involved can better </w:t>
      </w:r>
      <w:r w:rsidR="00FF0387" w:rsidRPr="00903BCB">
        <w:rPr>
          <w:sz w:val="24"/>
          <w:szCs w:val="24"/>
        </w:rPr>
        <w:t>underst</w:t>
      </w:r>
      <w:r w:rsidR="00B024D9" w:rsidRPr="00903BCB">
        <w:rPr>
          <w:sz w:val="24"/>
          <w:szCs w:val="24"/>
        </w:rPr>
        <w:t>and</w:t>
      </w:r>
      <w:r w:rsidR="00FF0387" w:rsidRPr="00903BCB">
        <w:rPr>
          <w:sz w:val="24"/>
          <w:szCs w:val="24"/>
        </w:rPr>
        <w:t xml:space="preserve"> </w:t>
      </w:r>
      <w:r w:rsidR="00787197" w:rsidRPr="00903BCB">
        <w:rPr>
          <w:sz w:val="24"/>
          <w:szCs w:val="24"/>
        </w:rPr>
        <w:t xml:space="preserve">how </w:t>
      </w:r>
      <w:bookmarkStart w:id="1" w:name="_GoBack"/>
      <w:bookmarkEnd w:id="1"/>
      <w:r w:rsidR="00787197" w:rsidRPr="00903BCB">
        <w:rPr>
          <w:sz w:val="24"/>
          <w:szCs w:val="24"/>
        </w:rPr>
        <w:t>formula-</w:t>
      </w:r>
      <w:r w:rsidR="001910AD" w:rsidRPr="00903BCB">
        <w:rPr>
          <w:sz w:val="24"/>
          <w:szCs w:val="24"/>
        </w:rPr>
        <w:t>parameters</w:t>
      </w:r>
      <w:r w:rsidR="00AD4632" w:rsidRPr="00903BCB">
        <w:rPr>
          <w:sz w:val="24"/>
          <w:szCs w:val="24"/>
        </w:rPr>
        <w:t xml:space="preserve"> behave and co-evolve</w:t>
      </w:r>
      <w:r w:rsidR="00887201" w:rsidRPr="00903BCB">
        <w:rPr>
          <w:sz w:val="24"/>
          <w:szCs w:val="24"/>
        </w:rPr>
        <w:t xml:space="preserve">. </w:t>
      </w:r>
    </w:p>
    <w:p w14:paraId="6DC135EF" w14:textId="6F12BB71" w:rsidR="00857878" w:rsidRPr="00903BCB" w:rsidRDefault="00075684" w:rsidP="00857878">
      <w:pPr>
        <w:spacing w:line="360" w:lineRule="auto"/>
        <w:ind w:left="0" w:right="0"/>
        <w:rPr>
          <w:sz w:val="24"/>
          <w:szCs w:val="24"/>
          <w:lang w:bidi="ar-JO"/>
        </w:rPr>
      </w:pPr>
      <w:r w:rsidRPr="00903BCB">
        <w:rPr>
          <w:sz w:val="24"/>
          <w:szCs w:val="24"/>
        </w:rPr>
        <w:t>Many political-</w:t>
      </w:r>
      <w:r w:rsidR="00E22AB9" w:rsidRPr="00903BCB">
        <w:rPr>
          <w:sz w:val="24"/>
          <w:szCs w:val="24"/>
        </w:rPr>
        <w:t>eco</w:t>
      </w:r>
      <w:r w:rsidRPr="00903BCB">
        <w:rPr>
          <w:sz w:val="24"/>
          <w:szCs w:val="24"/>
        </w:rPr>
        <w:t xml:space="preserve">nomic factors underlie this reality and </w:t>
      </w:r>
      <w:r w:rsidR="00E22AB9" w:rsidRPr="00903BCB">
        <w:rPr>
          <w:sz w:val="24"/>
          <w:szCs w:val="24"/>
        </w:rPr>
        <w:t xml:space="preserve">affect </w:t>
      </w:r>
      <w:r w:rsidRPr="00903BCB">
        <w:rPr>
          <w:sz w:val="24"/>
          <w:szCs w:val="24"/>
        </w:rPr>
        <w:t xml:space="preserve">the likelihood of implementing the </w:t>
      </w:r>
      <w:r w:rsidR="00E22AB9" w:rsidRPr="00903BCB">
        <w:rPr>
          <w:sz w:val="24"/>
          <w:szCs w:val="24"/>
        </w:rPr>
        <w:t>technical recommendations</w:t>
      </w:r>
      <w:r w:rsidRPr="00903BCB">
        <w:rPr>
          <w:sz w:val="24"/>
          <w:szCs w:val="24"/>
        </w:rPr>
        <w:t xml:space="preserve"> discussed in this research</w:t>
      </w:r>
      <w:r w:rsidR="001632CC" w:rsidRPr="00903BCB">
        <w:rPr>
          <w:sz w:val="24"/>
          <w:szCs w:val="24"/>
        </w:rPr>
        <w:t xml:space="preserve"> (</w:t>
      </w:r>
      <w:r w:rsidR="001632CC" w:rsidRPr="00903BCB">
        <w:rPr>
          <w:iCs/>
          <w:sz w:val="24"/>
          <w:szCs w:val="24"/>
        </w:rPr>
        <w:t>Eaton et al. 2011)</w:t>
      </w:r>
      <w:r w:rsidRPr="00903BCB">
        <w:rPr>
          <w:sz w:val="24"/>
          <w:szCs w:val="24"/>
        </w:rPr>
        <w:t>.</w:t>
      </w:r>
      <w:r w:rsidR="00F57C80" w:rsidRPr="00903BCB">
        <w:rPr>
          <w:sz w:val="24"/>
          <w:szCs w:val="24"/>
        </w:rPr>
        <w:t xml:space="preserve"> </w:t>
      </w:r>
      <w:r w:rsidR="007C52EC" w:rsidRPr="00903BCB">
        <w:rPr>
          <w:sz w:val="24"/>
          <w:szCs w:val="24"/>
        </w:rPr>
        <w:t xml:space="preserve">Jordan’s </w:t>
      </w:r>
      <w:r w:rsidR="00F57C80" w:rsidRPr="00903BCB">
        <w:rPr>
          <w:sz w:val="24"/>
          <w:szCs w:val="24"/>
        </w:rPr>
        <w:t>relative</w:t>
      </w:r>
      <w:r w:rsidR="007C52EC" w:rsidRPr="00903BCB">
        <w:rPr>
          <w:sz w:val="24"/>
          <w:szCs w:val="24"/>
        </w:rPr>
        <w:t>ly</w:t>
      </w:r>
      <w:r w:rsidR="008E418D" w:rsidRPr="00903BCB">
        <w:rPr>
          <w:sz w:val="24"/>
          <w:szCs w:val="24"/>
        </w:rPr>
        <w:t xml:space="preserve"> small </w:t>
      </w:r>
      <w:r w:rsidR="007C52EC" w:rsidRPr="00903BCB">
        <w:rPr>
          <w:sz w:val="24"/>
          <w:szCs w:val="24"/>
        </w:rPr>
        <w:t>population</w:t>
      </w:r>
      <w:r w:rsidR="00857878" w:rsidRPr="00903BCB">
        <w:rPr>
          <w:sz w:val="24"/>
          <w:szCs w:val="24"/>
        </w:rPr>
        <w:t>,</w:t>
      </w:r>
      <w:r w:rsidR="00F57C80" w:rsidRPr="00903BCB">
        <w:rPr>
          <w:sz w:val="24"/>
          <w:szCs w:val="24"/>
        </w:rPr>
        <w:t xml:space="preserve"> </w:t>
      </w:r>
      <w:r w:rsidR="007C52EC" w:rsidRPr="00903BCB">
        <w:rPr>
          <w:sz w:val="24"/>
          <w:szCs w:val="24"/>
        </w:rPr>
        <w:t xml:space="preserve">combined with </w:t>
      </w:r>
      <w:r w:rsidR="00F57C80" w:rsidRPr="00903BCB">
        <w:rPr>
          <w:sz w:val="24"/>
          <w:szCs w:val="24"/>
        </w:rPr>
        <w:t xml:space="preserve">its </w:t>
      </w:r>
      <w:r w:rsidR="008E418D" w:rsidRPr="00903BCB">
        <w:rPr>
          <w:sz w:val="24"/>
          <w:szCs w:val="24"/>
        </w:rPr>
        <w:t xml:space="preserve">limited </w:t>
      </w:r>
      <w:r w:rsidR="005D4AB2" w:rsidRPr="00903BCB">
        <w:rPr>
          <w:sz w:val="24"/>
          <w:szCs w:val="24"/>
        </w:rPr>
        <w:t xml:space="preserve">economic and natural </w:t>
      </w:r>
      <w:r w:rsidR="007C52EC" w:rsidRPr="00903BCB">
        <w:rPr>
          <w:sz w:val="24"/>
          <w:szCs w:val="24"/>
        </w:rPr>
        <w:t>resources</w:t>
      </w:r>
      <w:r w:rsidR="008E418D" w:rsidRPr="00903BCB">
        <w:rPr>
          <w:sz w:val="24"/>
          <w:szCs w:val="24"/>
        </w:rPr>
        <w:t xml:space="preserve">, </w:t>
      </w:r>
      <w:r w:rsidR="007C52EC" w:rsidRPr="00903BCB">
        <w:rPr>
          <w:sz w:val="24"/>
          <w:szCs w:val="24"/>
        </w:rPr>
        <w:t xml:space="preserve">make </w:t>
      </w:r>
      <w:r w:rsidR="00857878" w:rsidRPr="00903BCB">
        <w:rPr>
          <w:sz w:val="24"/>
          <w:szCs w:val="24"/>
        </w:rPr>
        <w:t xml:space="preserve">control over taxation center of political and power dynamics. Unless a three level tax system - national, </w:t>
      </w:r>
      <w:r w:rsidR="007C52EC" w:rsidRPr="00903BCB">
        <w:rPr>
          <w:sz w:val="24"/>
          <w:szCs w:val="24"/>
        </w:rPr>
        <w:t>g</w:t>
      </w:r>
      <w:r w:rsidR="00857878" w:rsidRPr="00903BCB">
        <w:rPr>
          <w:sz w:val="24"/>
          <w:szCs w:val="24"/>
        </w:rPr>
        <w:t xml:space="preserve">overnorate, and </w:t>
      </w:r>
      <w:r w:rsidR="007C52EC" w:rsidRPr="00903BCB">
        <w:rPr>
          <w:sz w:val="24"/>
          <w:szCs w:val="24"/>
        </w:rPr>
        <w:t>m</w:t>
      </w:r>
      <w:r w:rsidR="00857878" w:rsidRPr="00903BCB">
        <w:rPr>
          <w:sz w:val="24"/>
          <w:szCs w:val="24"/>
        </w:rPr>
        <w:t xml:space="preserve">unicipal – is put in place it is unlikely that the central authorities will compromise the size of their national revenues by transferring their </w:t>
      </w:r>
      <w:r w:rsidR="00015B7A" w:rsidRPr="00903BCB">
        <w:rPr>
          <w:sz w:val="24"/>
          <w:szCs w:val="24"/>
        </w:rPr>
        <w:t>revenue-generating sources</w:t>
      </w:r>
      <w:r w:rsidR="00857878" w:rsidRPr="00903BCB">
        <w:rPr>
          <w:sz w:val="24"/>
          <w:szCs w:val="24"/>
        </w:rPr>
        <w:t xml:space="preserve"> to local administrative levels.</w:t>
      </w:r>
    </w:p>
    <w:p w14:paraId="0F40267D" w14:textId="77777777" w:rsidR="008E418D" w:rsidRPr="00903BCB" w:rsidRDefault="008E418D" w:rsidP="002524B7">
      <w:pPr>
        <w:spacing w:line="360" w:lineRule="auto"/>
        <w:ind w:left="0" w:right="0"/>
        <w:rPr>
          <w:sz w:val="24"/>
          <w:szCs w:val="24"/>
          <w:highlight w:val="yellow"/>
        </w:rPr>
      </w:pPr>
    </w:p>
    <w:p w14:paraId="2B1135EB" w14:textId="5B780F19" w:rsidR="008E418D" w:rsidRPr="00903BCB" w:rsidRDefault="000B4E90" w:rsidP="002524B7">
      <w:pPr>
        <w:spacing w:line="360" w:lineRule="auto"/>
        <w:ind w:left="0" w:right="0"/>
        <w:rPr>
          <w:sz w:val="24"/>
          <w:szCs w:val="24"/>
        </w:rPr>
      </w:pPr>
      <w:r w:rsidRPr="00903BCB">
        <w:rPr>
          <w:sz w:val="24"/>
          <w:szCs w:val="24"/>
        </w:rPr>
        <w:t>There is no clear</w:t>
      </w:r>
      <w:r w:rsidR="003A30BA" w:rsidRPr="00903BCB">
        <w:rPr>
          <w:sz w:val="24"/>
          <w:szCs w:val="24"/>
        </w:rPr>
        <w:t xml:space="preserve"> </w:t>
      </w:r>
      <w:r w:rsidR="008E418D" w:rsidRPr="00903BCB">
        <w:rPr>
          <w:sz w:val="24"/>
          <w:szCs w:val="24"/>
        </w:rPr>
        <w:t xml:space="preserve">administrative </w:t>
      </w:r>
      <w:r w:rsidR="007C52EC" w:rsidRPr="00903BCB">
        <w:rPr>
          <w:sz w:val="24"/>
          <w:szCs w:val="24"/>
        </w:rPr>
        <w:t xml:space="preserve">or </w:t>
      </w:r>
      <w:r w:rsidR="008E418D" w:rsidRPr="00903BCB">
        <w:rPr>
          <w:sz w:val="24"/>
          <w:szCs w:val="24"/>
        </w:rPr>
        <w:t xml:space="preserve">financial </w:t>
      </w:r>
      <w:r w:rsidR="003A30BA" w:rsidRPr="00903BCB">
        <w:rPr>
          <w:sz w:val="24"/>
          <w:szCs w:val="24"/>
        </w:rPr>
        <w:t>relation</w:t>
      </w:r>
      <w:r w:rsidR="007C52EC" w:rsidRPr="00903BCB">
        <w:rPr>
          <w:sz w:val="24"/>
          <w:szCs w:val="24"/>
        </w:rPr>
        <w:t>ship</w:t>
      </w:r>
      <w:r w:rsidR="008E418D" w:rsidRPr="00903BCB">
        <w:rPr>
          <w:sz w:val="24"/>
          <w:szCs w:val="24"/>
        </w:rPr>
        <w:t xml:space="preserve"> between </w:t>
      </w:r>
      <w:r w:rsidR="007C52EC" w:rsidRPr="00903BCB">
        <w:rPr>
          <w:sz w:val="24"/>
          <w:szCs w:val="24"/>
        </w:rPr>
        <w:t>m</w:t>
      </w:r>
      <w:r w:rsidR="008E418D" w:rsidRPr="00903BCB">
        <w:rPr>
          <w:sz w:val="24"/>
          <w:szCs w:val="24"/>
        </w:rPr>
        <w:t>unicipa</w:t>
      </w:r>
      <w:r w:rsidRPr="00903BCB">
        <w:rPr>
          <w:sz w:val="24"/>
          <w:szCs w:val="24"/>
        </w:rPr>
        <w:t xml:space="preserve">lities and </w:t>
      </w:r>
      <w:r w:rsidR="007C52EC" w:rsidRPr="00903BCB">
        <w:rPr>
          <w:sz w:val="24"/>
          <w:szCs w:val="24"/>
        </w:rPr>
        <w:t>g</w:t>
      </w:r>
      <w:r w:rsidRPr="00903BCB">
        <w:rPr>
          <w:sz w:val="24"/>
          <w:szCs w:val="24"/>
        </w:rPr>
        <w:t>overnorates. I</w:t>
      </w:r>
      <w:r w:rsidR="008E418D" w:rsidRPr="00903BCB">
        <w:rPr>
          <w:sz w:val="24"/>
          <w:szCs w:val="24"/>
        </w:rPr>
        <w:t>t is essential to review current regulation</w:t>
      </w:r>
      <w:r w:rsidRPr="00903BCB">
        <w:rPr>
          <w:sz w:val="24"/>
          <w:szCs w:val="24"/>
        </w:rPr>
        <w:t>s governing the administration of m</w:t>
      </w:r>
      <w:r w:rsidR="008E418D" w:rsidRPr="00903BCB">
        <w:rPr>
          <w:sz w:val="24"/>
          <w:szCs w:val="24"/>
        </w:rPr>
        <w:t>unicipal</w:t>
      </w:r>
      <w:r w:rsidRPr="00903BCB">
        <w:rPr>
          <w:sz w:val="24"/>
          <w:szCs w:val="24"/>
        </w:rPr>
        <w:t>ities</w:t>
      </w:r>
      <w:r w:rsidR="008E418D" w:rsidRPr="00903BCB">
        <w:rPr>
          <w:sz w:val="24"/>
          <w:szCs w:val="24"/>
        </w:rPr>
        <w:t xml:space="preserve"> </w:t>
      </w:r>
      <w:r w:rsidRPr="00903BCB">
        <w:rPr>
          <w:sz w:val="24"/>
          <w:szCs w:val="24"/>
        </w:rPr>
        <w:t>and g</w:t>
      </w:r>
      <w:r w:rsidR="008E418D" w:rsidRPr="00903BCB">
        <w:rPr>
          <w:sz w:val="24"/>
          <w:szCs w:val="24"/>
        </w:rPr>
        <w:t>overnorates</w:t>
      </w:r>
      <w:r w:rsidR="003A30BA" w:rsidRPr="00903BCB">
        <w:rPr>
          <w:sz w:val="24"/>
          <w:szCs w:val="24"/>
        </w:rPr>
        <w:t xml:space="preserve"> in order to create a</w:t>
      </w:r>
      <w:r w:rsidRPr="00903BCB">
        <w:rPr>
          <w:sz w:val="24"/>
          <w:szCs w:val="24"/>
        </w:rPr>
        <w:t xml:space="preserve"> hierarchical</w:t>
      </w:r>
      <w:r w:rsidR="00A242A1" w:rsidRPr="00903BCB">
        <w:rPr>
          <w:sz w:val="24"/>
          <w:szCs w:val="24"/>
        </w:rPr>
        <w:t xml:space="preserve"> administrative system </w:t>
      </w:r>
      <w:r w:rsidRPr="00903BCB">
        <w:rPr>
          <w:sz w:val="24"/>
          <w:szCs w:val="24"/>
        </w:rPr>
        <w:t xml:space="preserve">capable of planning and </w:t>
      </w:r>
      <w:r w:rsidR="008E418D" w:rsidRPr="00903BCB">
        <w:rPr>
          <w:sz w:val="24"/>
          <w:szCs w:val="24"/>
        </w:rPr>
        <w:t>deliver</w:t>
      </w:r>
      <w:r w:rsidRPr="00903BCB">
        <w:rPr>
          <w:sz w:val="24"/>
          <w:szCs w:val="24"/>
        </w:rPr>
        <w:t>ing</w:t>
      </w:r>
      <w:r w:rsidR="008E418D" w:rsidRPr="00903BCB">
        <w:rPr>
          <w:sz w:val="24"/>
          <w:szCs w:val="24"/>
        </w:rPr>
        <w:t xml:space="preserve"> </w:t>
      </w:r>
      <w:r w:rsidR="00812A5F" w:rsidRPr="00903BCB">
        <w:rPr>
          <w:sz w:val="24"/>
          <w:szCs w:val="24"/>
        </w:rPr>
        <w:t xml:space="preserve">public services </w:t>
      </w:r>
      <w:r w:rsidR="007C52EC" w:rsidRPr="00903BCB">
        <w:rPr>
          <w:sz w:val="24"/>
          <w:szCs w:val="24"/>
        </w:rPr>
        <w:t>efficiently</w:t>
      </w:r>
      <w:r w:rsidR="008E418D" w:rsidRPr="00903BCB">
        <w:rPr>
          <w:sz w:val="24"/>
          <w:szCs w:val="24"/>
        </w:rPr>
        <w:t xml:space="preserve">.  </w:t>
      </w:r>
    </w:p>
    <w:p w14:paraId="4E4E4E2A" w14:textId="77777777" w:rsidR="008E418D" w:rsidRPr="00903BCB" w:rsidRDefault="008E418D" w:rsidP="002524B7">
      <w:pPr>
        <w:spacing w:line="360" w:lineRule="auto"/>
        <w:ind w:left="0" w:right="0"/>
        <w:rPr>
          <w:sz w:val="24"/>
          <w:szCs w:val="24"/>
          <w:highlight w:val="yellow"/>
        </w:rPr>
      </w:pPr>
    </w:p>
    <w:p w14:paraId="319D8362" w14:textId="38C89A39" w:rsidR="00D94CE2" w:rsidRPr="00903BCB" w:rsidRDefault="002E0CB3" w:rsidP="003D7611">
      <w:pPr>
        <w:spacing w:line="360" w:lineRule="auto"/>
        <w:ind w:left="0" w:right="0"/>
        <w:rPr>
          <w:bCs/>
          <w:sz w:val="24"/>
          <w:szCs w:val="24"/>
        </w:rPr>
      </w:pPr>
      <w:r w:rsidRPr="00903BCB">
        <w:rPr>
          <w:sz w:val="24"/>
          <w:szCs w:val="24"/>
        </w:rPr>
        <w:t xml:space="preserve">A new formula alone will not solve the deep regional imbalances, which </w:t>
      </w:r>
      <w:r w:rsidR="00D94CE2" w:rsidRPr="00903BCB">
        <w:rPr>
          <w:sz w:val="24"/>
          <w:szCs w:val="24"/>
        </w:rPr>
        <w:t>require</w:t>
      </w:r>
      <w:r w:rsidRPr="00903BCB">
        <w:rPr>
          <w:sz w:val="24"/>
          <w:szCs w:val="24"/>
        </w:rPr>
        <w:t xml:space="preserve"> a bolder national approach to differences in economic opportunities across governorates. </w:t>
      </w:r>
      <w:r w:rsidR="00D94CE2" w:rsidRPr="00903BCB">
        <w:rPr>
          <w:sz w:val="24"/>
          <w:szCs w:val="24"/>
        </w:rPr>
        <w:t xml:space="preserve">However, a </w:t>
      </w:r>
      <w:r w:rsidR="003D7611" w:rsidRPr="00903BCB">
        <w:rPr>
          <w:sz w:val="24"/>
          <w:szCs w:val="24"/>
        </w:rPr>
        <w:t xml:space="preserve">new formula built upon </w:t>
      </w:r>
      <w:r w:rsidR="00D94CE2" w:rsidRPr="00903BCB">
        <w:rPr>
          <w:bCs/>
          <w:sz w:val="24"/>
          <w:szCs w:val="24"/>
        </w:rPr>
        <w:t>Martinez-Vazquez and Boex</w:t>
      </w:r>
      <w:r w:rsidR="003D7611" w:rsidRPr="00903BCB">
        <w:rPr>
          <w:bCs/>
          <w:sz w:val="24"/>
          <w:szCs w:val="24"/>
        </w:rPr>
        <w:t>’s (2002) principles, such as equity, t</w:t>
      </w:r>
      <w:r w:rsidR="00D94CE2" w:rsidRPr="00903BCB">
        <w:rPr>
          <w:bCs/>
          <w:sz w:val="24"/>
          <w:szCs w:val="24"/>
        </w:rPr>
        <w:t>ransparency</w:t>
      </w:r>
      <w:r w:rsidR="003D7611" w:rsidRPr="00903BCB">
        <w:rPr>
          <w:bCs/>
          <w:sz w:val="24"/>
          <w:szCs w:val="24"/>
        </w:rPr>
        <w:t>, need</w:t>
      </w:r>
      <w:r w:rsidR="007C52EC" w:rsidRPr="00903BCB">
        <w:rPr>
          <w:bCs/>
          <w:sz w:val="24"/>
          <w:szCs w:val="24"/>
        </w:rPr>
        <w:t>s</w:t>
      </w:r>
      <w:r w:rsidR="003D7611" w:rsidRPr="00903BCB">
        <w:rPr>
          <w:bCs/>
          <w:sz w:val="24"/>
          <w:szCs w:val="24"/>
        </w:rPr>
        <w:t xml:space="preserve"> and </w:t>
      </w:r>
      <w:r w:rsidR="0057241B" w:rsidRPr="00903BCB">
        <w:rPr>
          <w:bCs/>
          <w:sz w:val="24"/>
          <w:szCs w:val="24"/>
        </w:rPr>
        <w:t xml:space="preserve">stability will help </w:t>
      </w:r>
      <w:r w:rsidR="00391C31" w:rsidRPr="00903BCB">
        <w:rPr>
          <w:bCs/>
          <w:sz w:val="24"/>
          <w:szCs w:val="24"/>
        </w:rPr>
        <w:t>develop</w:t>
      </w:r>
      <w:r w:rsidR="00CD370D" w:rsidRPr="00903BCB">
        <w:rPr>
          <w:bCs/>
          <w:sz w:val="24"/>
          <w:szCs w:val="24"/>
        </w:rPr>
        <w:t xml:space="preserve"> local infrastructure</w:t>
      </w:r>
      <w:r w:rsidR="002C3991" w:rsidRPr="00903BCB">
        <w:rPr>
          <w:bCs/>
          <w:sz w:val="24"/>
          <w:szCs w:val="24"/>
        </w:rPr>
        <w:t>,</w:t>
      </w:r>
      <w:r w:rsidR="00CD370D" w:rsidRPr="00903BCB">
        <w:rPr>
          <w:bCs/>
          <w:sz w:val="24"/>
          <w:szCs w:val="24"/>
        </w:rPr>
        <w:t xml:space="preserve"> </w:t>
      </w:r>
      <w:r w:rsidR="002C3991" w:rsidRPr="00903BCB">
        <w:rPr>
          <w:bCs/>
          <w:sz w:val="24"/>
          <w:szCs w:val="24"/>
        </w:rPr>
        <w:t>thereby improving the</w:t>
      </w:r>
      <w:r w:rsidR="007037AE" w:rsidRPr="00903BCB">
        <w:rPr>
          <w:bCs/>
          <w:sz w:val="24"/>
          <w:szCs w:val="24"/>
        </w:rPr>
        <w:t xml:space="preserve"> well being of communities, support</w:t>
      </w:r>
      <w:r w:rsidR="002C3991" w:rsidRPr="00903BCB">
        <w:rPr>
          <w:bCs/>
          <w:sz w:val="24"/>
          <w:szCs w:val="24"/>
        </w:rPr>
        <w:t>ing</w:t>
      </w:r>
      <w:r w:rsidR="007037AE" w:rsidRPr="00903BCB">
        <w:rPr>
          <w:bCs/>
          <w:sz w:val="24"/>
          <w:szCs w:val="24"/>
        </w:rPr>
        <w:t xml:space="preserve"> business development and encourag</w:t>
      </w:r>
      <w:r w:rsidR="002C3991" w:rsidRPr="00903BCB">
        <w:rPr>
          <w:bCs/>
          <w:sz w:val="24"/>
          <w:szCs w:val="24"/>
        </w:rPr>
        <w:t>ing</w:t>
      </w:r>
      <w:r w:rsidR="007037AE" w:rsidRPr="00903BCB">
        <w:rPr>
          <w:bCs/>
          <w:sz w:val="24"/>
          <w:szCs w:val="24"/>
        </w:rPr>
        <w:t xml:space="preserve"> civic participation.</w:t>
      </w:r>
      <w:r w:rsidR="005D5F67" w:rsidRPr="00903BCB">
        <w:rPr>
          <w:bCs/>
          <w:sz w:val="24"/>
          <w:szCs w:val="24"/>
        </w:rPr>
        <w:t xml:space="preserve"> </w:t>
      </w:r>
    </w:p>
    <w:p w14:paraId="2A75F185" w14:textId="77777777" w:rsidR="00D94CE2" w:rsidRPr="00903BCB" w:rsidRDefault="00D94CE2" w:rsidP="002524B7">
      <w:pPr>
        <w:spacing w:line="360" w:lineRule="auto"/>
        <w:ind w:left="0" w:right="0"/>
        <w:rPr>
          <w:sz w:val="24"/>
          <w:szCs w:val="24"/>
          <w:highlight w:val="yellow"/>
        </w:rPr>
      </w:pPr>
    </w:p>
    <w:p w14:paraId="4574A12D" w14:textId="5CC72FB1" w:rsidR="00C10AE9" w:rsidRPr="00903BCB" w:rsidRDefault="008E418D" w:rsidP="002524B7">
      <w:pPr>
        <w:spacing w:line="360" w:lineRule="auto"/>
        <w:ind w:left="0" w:right="0"/>
        <w:rPr>
          <w:sz w:val="24"/>
          <w:szCs w:val="24"/>
        </w:rPr>
      </w:pPr>
      <w:r w:rsidRPr="00903BCB">
        <w:rPr>
          <w:sz w:val="24"/>
          <w:szCs w:val="24"/>
        </w:rPr>
        <w:t>The implementation of decentralization require</w:t>
      </w:r>
      <w:r w:rsidR="009D1A33" w:rsidRPr="00903BCB">
        <w:rPr>
          <w:sz w:val="24"/>
          <w:szCs w:val="24"/>
        </w:rPr>
        <w:t>s</w:t>
      </w:r>
      <w:r w:rsidRPr="00903BCB">
        <w:rPr>
          <w:sz w:val="24"/>
          <w:szCs w:val="24"/>
        </w:rPr>
        <w:t xml:space="preserve"> qualified human re</w:t>
      </w:r>
      <w:r w:rsidR="002C3991" w:rsidRPr="00903BCB">
        <w:rPr>
          <w:sz w:val="24"/>
          <w:szCs w:val="24"/>
        </w:rPr>
        <w:t>s</w:t>
      </w:r>
      <w:r w:rsidRPr="00903BCB">
        <w:rPr>
          <w:sz w:val="24"/>
          <w:szCs w:val="24"/>
        </w:rPr>
        <w:t>our</w:t>
      </w:r>
      <w:r w:rsidR="002C3991" w:rsidRPr="00903BCB">
        <w:rPr>
          <w:sz w:val="24"/>
          <w:szCs w:val="24"/>
        </w:rPr>
        <w:t>c</w:t>
      </w:r>
      <w:r w:rsidRPr="00903BCB">
        <w:rPr>
          <w:sz w:val="24"/>
          <w:szCs w:val="24"/>
        </w:rPr>
        <w:t xml:space="preserve">es </w:t>
      </w:r>
      <w:r w:rsidR="00306BA4" w:rsidRPr="00903BCB">
        <w:rPr>
          <w:sz w:val="24"/>
          <w:szCs w:val="24"/>
        </w:rPr>
        <w:t xml:space="preserve">capable of </w:t>
      </w:r>
      <w:r w:rsidR="003A30BA" w:rsidRPr="00903BCB">
        <w:rPr>
          <w:sz w:val="24"/>
          <w:szCs w:val="24"/>
        </w:rPr>
        <w:t>deal</w:t>
      </w:r>
      <w:r w:rsidR="00306BA4" w:rsidRPr="00903BCB">
        <w:rPr>
          <w:sz w:val="24"/>
          <w:szCs w:val="24"/>
        </w:rPr>
        <w:t>ing</w:t>
      </w:r>
      <w:r w:rsidR="003A30BA" w:rsidRPr="00903BCB">
        <w:rPr>
          <w:sz w:val="24"/>
          <w:szCs w:val="24"/>
        </w:rPr>
        <w:t xml:space="preserve"> with </w:t>
      </w:r>
      <w:r w:rsidR="002C3991" w:rsidRPr="00903BCB">
        <w:rPr>
          <w:sz w:val="24"/>
          <w:szCs w:val="24"/>
        </w:rPr>
        <w:t xml:space="preserve">the </w:t>
      </w:r>
      <w:r w:rsidR="006650F5" w:rsidRPr="00903BCB">
        <w:rPr>
          <w:sz w:val="24"/>
          <w:szCs w:val="24"/>
        </w:rPr>
        <w:t xml:space="preserve">administrative and financial </w:t>
      </w:r>
      <w:r w:rsidR="003A30BA" w:rsidRPr="00903BCB">
        <w:rPr>
          <w:sz w:val="24"/>
          <w:szCs w:val="24"/>
        </w:rPr>
        <w:t>complexit</w:t>
      </w:r>
      <w:r w:rsidR="002C3991" w:rsidRPr="00903BCB">
        <w:rPr>
          <w:sz w:val="24"/>
          <w:szCs w:val="24"/>
        </w:rPr>
        <w:t>ies</w:t>
      </w:r>
      <w:r w:rsidR="00306BA4" w:rsidRPr="00903BCB">
        <w:rPr>
          <w:sz w:val="24"/>
          <w:szCs w:val="24"/>
        </w:rPr>
        <w:t xml:space="preserve"> result</w:t>
      </w:r>
      <w:r w:rsidR="002C3991" w:rsidRPr="00903BCB">
        <w:rPr>
          <w:sz w:val="24"/>
          <w:szCs w:val="24"/>
        </w:rPr>
        <w:t>ing</w:t>
      </w:r>
      <w:r w:rsidR="00306BA4" w:rsidRPr="00903BCB">
        <w:rPr>
          <w:sz w:val="24"/>
          <w:szCs w:val="24"/>
        </w:rPr>
        <w:t xml:space="preserve"> </w:t>
      </w:r>
      <w:r w:rsidR="003A30BA" w:rsidRPr="00903BCB">
        <w:rPr>
          <w:sz w:val="24"/>
          <w:szCs w:val="24"/>
        </w:rPr>
        <w:t xml:space="preserve">from </w:t>
      </w:r>
      <w:r w:rsidR="00306BA4" w:rsidRPr="00903BCB">
        <w:rPr>
          <w:sz w:val="24"/>
          <w:szCs w:val="24"/>
        </w:rPr>
        <w:t xml:space="preserve">new </w:t>
      </w:r>
      <w:r w:rsidRPr="00903BCB">
        <w:rPr>
          <w:sz w:val="24"/>
          <w:szCs w:val="24"/>
        </w:rPr>
        <w:t>responsibilit</w:t>
      </w:r>
      <w:r w:rsidR="003A30BA" w:rsidRPr="00903BCB">
        <w:rPr>
          <w:sz w:val="24"/>
          <w:szCs w:val="24"/>
        </w:rPr>
        <w:t>ies</w:t>
      </w:r>
      <w:r w:rsidRPr="00903BCB">
        <w:rPr>
          <w:sz w:val="24"/>
          <w:szCs w:val="24"/>
        </w:rPr>
        <w:t xml:space="preserve"> delegated</w:t>
      </w:r>
      <w:r w:rsidR="003A30BA" w:rsidRPr="00903BCB">
        <w:rPr>
          <w:sz w:val="24"/>
          <w:szCs w:val="24"/>
        </w:rPr>
        <w:t xml:space="preserve"> by </w:t>
      </w:r>
      <w:r w:rsidR="00306BA4" w:rsidRPr="00903BCB">
        <w:rPr>
          <w:sz w:val="24"/>
          <w:szCs w:val="24"/>
        </w:rPr>
        <w:t>the central government. It is crucial</w:t>
      </w:r>
      <w:r w:rsidR="006650F5" w:rsidRPr="00903BCB">
        <w:rPr>
          <w:sz w:val="24"/>
          <w:szCs w:val="24"/>
        </w:rPr>
        <w:t xml:space="preserve"> </w:t>
      </w:r>
      <w:r w:rsidR="00306BA4" w:rsidRPr="00903BCB">
        <w:rPr>
          <w:sz w:val="24"/>
          <w:szCs w:val="24"/>
        </w:rPr>
        <w:t>to design and implement</w:t>
      </w:r>
      <w:r w:rsidR="006650F5" w:rsidRPr="00903BCB">
        <w:rPr>
          <w:sz w:val="24"/>
          <w:szCs w:val="24"/>
        </w:rPr>
        <w:t xml:space="preserve"> a </w:t>
      </w:r>
      <w:r w:rsidR="00306BA4" w:rsidRPr="00903BCB">
        <w:rPr>
          <w:sz w:val="24"/>
          <w:szCs w:val="24"/>
        </w:rPr>
        <w:t xml:space="preserve">comprehensive </w:t>
      </w:r>
      <w:r w:rsidR="006650F5" w:rsidRPr="00903BCB">
        <w:rPr>
          <w:sz w:val="24"/>
          <w:szCs w:val="24"/>
        </w:rPr>
        <w:t xml:space="preserve">capacity </w:t>
      </w:r>
      <w:r w:rsidR="00306BA4" w:rsidRPr="00903BCB">
        <w:rPr>
          <w:sz w:val="24"/>
          <w:szCs w:val="24"/>
        </w:rPr>
        <w:t xml:space="preserve">building </w:t>
      </w:r>
      <w:r w:rsidR="004A7B0E" w:rsidRPr="00903BCB">
        <w:rPr>
          <w:sz w:val="24"/>
          <w:szCs w:val="24"/>
        </w:rPr>
        <w:t xml:space="preserve">national </w:t>
      </w:r>
      <w:r w:rsidR="00306BA4" w:rsidRPr="00903BCB">
        <w:rPr>
          <w:sz w:val="24"/>
          <w:szCs w:val="24"/>
        </w:rPr>
        <w:t>program for governorates and m</w:t>
      </w:r>
      <w:r w:rsidR="006650F5" w:rsidRPr="00903BCB">
        <w:rPr>
          <w:sz w:val="24"/>
          <w:szCs w:val="24"/>
        </w:rPr>
        <w:t>unicipal</w:t>
      </w:r>
      <w:r w:rsidR="00306BA4" w:rsidRPr="00903BCB">
        <w:rPr>
          <w:sz w:val="24"/>
          <w:szCs w:val="24"/>
        </w:rPr>
        <w:t>ities.</w:t>
      </w:r>
    </w:p>
    <w:p w14:paraId="68279E97" w14:textId="77777777" w:rsidR="004A7B0E" w:rsidRPr="00903BCB" w:rsidRDefault="004A7B0E" w:rsidP="00792899">
      <w:pPr>
        <w:spacing w:line="360" w:lineRule="auto"/>
        <w:ind w:left="0" w:right="0"/>
        <w:rPr>
          <w:sz w:val="24"/>
          <w:szCs w:val="24"/>
          <w:highlight w:val="yellow"/>
        </w:rPr>
      </w:pPr>
    </w:p>
    <w:p w14:paraId="3DD78F4E" w14:textId="39BD4E54" w:rsidR="00FF0387" w:rsidRPr="00903BCB" w:rsidRDefault="00887201" w:rsidP="005D4AB2">
      <w:pPr>
        <w:spacing w:line="360" w:lineRule="auto"/>
        <w:ind w:left="0" w:right="0"/>
        <w:rPr>
          <w:sz w:val="24"/>
          <w:szCs w:val="24"/>
        </w:rPr>
      </w:pPr>
      <w:r w:rsidRPr="00903BCB">
        <w:rPr>
          <w:sz w:val="24"/>
          <w:szCs w:val="24"/>
        </w:rPr>
        <w:t xml:space="preserve">Jordan </w:t>
      </w:r>
      <w:r w:rsidR="00FF0387" w:rsidRPr="00903BCB">
        <w:rPr>
          <w:sz w:val="24"/>
          <w:szCs w:val="24"/>
        </w:rPr>
        <w:t>needs to find a comprehensive formula</w:t>
      </w:r>
      <w:r w:rsidR="008D3DA2" w:rsidRPr="00903BCB">
        <w:rPr>
          <w:sz w:val="24"/>
          <w:szCs w:val="24"/>
        </w:rPr>
        <w:t xml:space="preserve"> to fund its governorates. I</w:t>
      </w:r>
      <w:r w:rsidR="00FF0387" w:rsidRPr="00903BCB">
        <w:rPr>
          <w:sz w:val="24"/>
          <w:szCs w:val="24"/>
        </w:rPr>
        <w:t>t also needs</w:t>
      </w:r>
      <w:r w:rsidR="008D3DA2" w:rsidRPr="00903BCB">
        <w:rPr>
          <w:sz w:val="24"/>
          <w:szCs w:val="24"/>
        </w:rPr>
        <w:t>, however,</w:t>
      </w:r>
      <w:r w:rsidR="00FF0387" w:rsidRPr="00903BCB">
        <w:rPr>
          <w:sz w:val="24"/>
          <w:szCs w:val="24"/>
        </w:rPr>
        <w:t xml:space="preserve"> to find an institutional framework to allow governorates to fund themselves either through local taxes, loans and</w:t>
      </w:r>
      <w:r w:rsidR="00AD4632" w:rsidRPr="00903BCB">
        <w:rPr>
          <w:sz w:val="24"/>
          <w:szCs w:val="24"/>
        </w:rPr>
        <w:t>/or</w:t>
      </w:r>
      <w:r w:rsidR="00FF0387" w:rsidRPr="00903BCB">
        <w:rPr>
          <w:sz w:val="24"/>
          <w:szCs w:val="24"/>
        </w:rPr>
        <w:t xml:space="preserve"> a combination of the two. </w:t>
      </w:r>
      <w:r w:rsidR="005D4AB2" w:rsidRPr="00903BCB">
        <w:rPr>
          <w:sz w:val="24"/>
          <w:szCs w:val="24"/>
        </w:rPr>
        <w:t>Considering all of the above, and o</w:t>
      </w:r>
      <w:r w:rsidR="00787197" w:rsidRPr="00903BCB">
        <w:rPr>
          <w:sz w:val="24"/>
          <w:szCs w:val="24"/>
        </w:rPr>
        <w:t>nly then</w:t>
      </w:r>
      <w:r w:rsidR="008D3DA2" w:rsidRPr="00903BCB">
        <w:rPr>
          <w:sz w:val="24"/>
          <w:szCs w:val="24"/>
        </w:rPr>
        <w:t>,</w:t>
      </w:r>
      <w:r w:rsidR="00787197" w:rsidRPr="00903BCB">
        <w:rPr>
          <w:sz w:val="24"/>
          <w:szCs w:val="24"/>
        </w:rPr>
        <w:t xml:space="preserve"> will King Abdullah II</w:t>
      </w:r>
      <w:r w:rsidR="00AD2A25" w:rsidRPr="00903BCB">
        <w:rPr>
          <w:sz w:val="24"/>
          <w:szCs w:val="24"/>
        </w:rPr>
        <w:t>’s</w:t>
      </w:r>
      <w:r w:rsidR="00787197" w:rsidRPr="00903BCB">
        <w:rPr>
          <w:sz w:val="24"/>
          <w:szCs w:val="24"/>
        </w:rPr>
        <w:t xml:space="preserve"> goals be achieved: (i) greater public participation in public sector policy</w:t>
      </w:r>
      <w:r w:rsidR="00130F85" w:rsidRPr="00903BCB">
        <w:rPr>
          <w:sz w:val="24"/>
          <w:szCs w:val="24"/>
        </w:rPr>
        <w:t>-</w:t>
      </w:r>
      <w:r w:rsidR="00787197" w:rsidRPr="00903BCB">
        <w:rPr>
          <w:sz w:val="24"/>
          <w:szCs w:val="24"/>
        </w:rPr>
        <w:t>making and implementation</w:t>
      </w:r>
      <w:r w:rsidR="00AD2A25" w:rsidRPr="00903BCB">
        <w:rPr>
          <w:sz w:val="24"/>
          <w:szCs w:val="24"/>
        </w:rPr>
        <w:t>,</w:t>
      </w:r>
      <w:r w:rsidR="00787197" w:rsidRPr="00903BCB">
        <w:rPr>
          <w:sz w:val="24"/>
          <w:szCs w:val="24"/>
        </w:rPr>
        <w:t xml:space="preserve"> and (ii) effective social auditing of public sector performance.</w:t>
      </w:r>
    </w:p>
    <w:p w14:paraId="11A16760" w14:textId="77777777" w:rsidR="00D308C0" w:rsidRPr="00903BCB" w:rsidRDefault="00D308C0" w:rsidP="008F4B46">
      <w:pPr>
        <w:spacing w:after="240"/>
        <w:ind w:left="0" w:right="0"/>
        <w:jc w:val="left"/>
        <w:rPr>
          <w:i/>
          <w:sz w:val="24"/>
          <w:szCs w:val="24"/>
          <w:lang w:val="en-GB"/>
        </w:rPr>
      </w:pPr>
    </w:p>
    <w:p w14:paraId="78077EA6" w14:textId="77777777" w:rsidR="00841401" w:rsidRPr="00903BCB" w:rsidRDefault="00841401" w:rsidP="008F4B46">
      <w:pPr>
        <w:spacing w:after="240"/>
        <w:ind w:left="0" w:right="0"/>
        <w:jc w:val="left"/>
        <w:rPr>
          <w:i/>
          <w:sz w:val="24"/>
          <w:szCs w:val="24"/>
          <w:lang w:val="en-GB"/>
        </w:rPr>
        <w:sectPr w:rsidR="00841401" w:rsidRPr="00903BCB" w:rsidSect="00A06476">
          <w:footerReference w:type="default" r:id="rId20"/>
          <w:pgSz w:w="12240" w:h="15840" w:code="1"/>
          <w:pgMar w:top="1440" w:right="1440" w:bottom="1440" w:left="1440" w:header="720" w:footer="720" w:gutter="0"/>
          <w:cols w:space="720"/>
          <w:docGrid w:linePitch="360"/>
        </w:sectPr>
      </w:pPr>
    </w:p>
    <w:p w14:paraId="5292B006" w14:textId="77777777" w:rsidR="00723349" w:rsidRPr="00903BCB" w:rsidRDefault="00723349" w:rsidP="00AC6B51">
      <w:pPr>
        <w:ind w:left="0" w:right="-90"/>
        <w:jc w:val="center"/>
        <w:rPr>
          <w:sz w:val="24"/>
          <w:szCs w:val="24"/>
        </w:rPr>
      </w:pPr>
      <w:r w:rsidRPr="00903BCB">
        <w:rPr>
          <w:sz w:val="24"/>
          <w:szCs w:val="24"/>
        </w:rPr>
        <w:t>Appendix 1</w:t>
      </w:r>
    </w:p>
    <w:p w14:paraId="6077AA9F" w14:textId="77777777" w:rsidR="00E1183C" w:rsidRPr="00903BCB" w:rsidRDefault="00B55B70" w:rsidP="00841401">
      <w:pPr>
        <w:ind w:left="0" w:right="0"/>
        <w:jc w:val="center"/>
        <w:rPr>
          <w:sz w:val="24"/>
          <w:szCs w:val="24"/>
        </w:rPr>
      </w:pPr>
      <w:r w:rsidRPr="00903BCB">
        <w:rPr>
          <w:sz w:val="24"/>
          <w:szCs w:val="24"/>
        </w:rPr>
        <w:t>D</w:t>
      </w:r>
      <w:r w:rsidR="00E1183C" w:rsidRPr="00903BCB">
        <w:rPr>
          <w:sz w:val="24"/>
          <w:szCs w:val="24"/>
        </w:rPr>
        <w:t>etailed tasks of each adm</w:t>
      </w:r>
      <w:r w:rsidRPr="00903BCB">
        <w:rPr>
          <w:sz w:val="24"/>
          <w:szCs w:val="24"/>
        </w:rPr>
        <w:t>inistrative level</w:t>
      </w:r>
    </w:p>
    <w:p w14:paraId="69D98ACC" w14:textId="77777777" w:rsidR="006F46B0" w:rsidRPr="00903BCB" w:rsidRDefault="006F46B0" w:rsidP="008F4B46">
      <w:pPr>
        <w:spacing w:after="240"/>
        <w:ind w:left="0" w:right="0"/>
        <w:jc w:val="left"/>
        <w:rPr>
          <w:i/>
          <w:sz w:val="24"/>
          <w:szCs w:val="24"/>
        </w:rPr>
      </w:pPr>
    </w:p>
    <w:tbl>
      <w:tblPr>
        <w:tblW w:w="12780" w:type="dxa"/>
        <w:tblInd w:w="93" w:type="dxa"/>
        <w:tblLook w:val="04A0" w:firstRow="1" w:lastRow="0" w:firstColumn="1" w:lastColumn="0" w:noHBand="0" w:noVBand="1"/>
      </w:tblPr>
      <w:tblGrid>
        <w:gridCol w:w="2176"/>
        <w:gridCol w:w="8775"/>
        <w:gridCol w:w="1829"/>
      </w:tblGrid>
      <w:tr w:rsidR="00F214DB" w:rsidRPr="00903BCB" w14:paraId="1D10C45F" w14:textId="77777777" w:rsidTr="00F214DB">
        <w:trPr>
          <w:trHeight w:val="320"/>
        </w:trPr>
        <w:tc>
          <w:tcPr>
            <w:tcW w:w="2180" w:type="dxa"/>
            <w:tcBorders>
              <w:top w:val="single" w:sz="8" w:space="0" w:color="auto"/>
              <w:left w:val="single" w:sz="8" w:space="0" w:color="auto"/>
              <w:bottom w:val="single" w:sz="8" w:space="0" w:color="auto"/>
              <w:right w:val="single" w:sz="8" w:space="0" w:color="auto"/>
            </w:tcBorders>
            <w:shd w:val="clear" w:color="000000" w:fill="8DB3E2"/>
            <w:vAlign w:val="center"/>
            <w:hideMark/>
          </w:tcPr>
          <w:p w14:paraId="59AEA9AC" w14:textId="77777777" w:rsidR="00F214DB" w:rsidRPr="00903BCB" w:rsidRDefault="00F214DB" w:rsidP="00D1675A">
            <w:pPr>
              <w:autoSpaceDE/>
              <w:autoSpaceDN/>
              <w:adjustRightInd/>
              <w:ind w:left="0" w:right="0"/>
              <w:jc w:val="center"/>
              <w:rPr>
                <w:rFonts w:eastAsia="Times New Roman"/>
                <w:b/>
                <w:bCs/>
                <w:color w:val="000000"/>
                <w:sz w:val="24"/>
                <w:szCs w:val="24"/>
              </w:rPr>
            </w:pPr>
            <w:r w:rsidRPr="00903BCB">
              <w:rPr>
                <w:rFonts w:eastAsia="Times New Roman"/>
                <w:b/>
                <w:bCs/>
                <w:color w:val="000000"/>
                <w:sz w:val="24"/>
                <w:szCs w:val="24"/>
              </w:rPr>
              <w:t>Administrative Level</w:t>
            </w:r>
          </w:p>
        </w:tc>
        <w:tc>
          <w:tcPr>
            <w:tcW w:w="8840" w:type="dxa"/>
            <w:tcBorders>
              <w:top w:val="single" w:sz="8" w:space="0" w:color="auto"/>
              <w:left w:val="nil"/>
              <w:bottom w:val="single" w:sz="8" w:space="0" w:color="auto"/>
              <w:right w:val="single" w:sz="8" w:space="0" w:color="auto"/>
            </w:tcBorders>
            <w:shd w:val="clear" w:color="000000" w:fill="8DB3E2"/>
            <w:vAlign w:val="center"/>
            <w:hideMark/>
          </w:tcPr>
          <w:p w14:paraId="1CB0051A" w14:textId="77777777" w:rsidR="00F214DB" w:rsidRPr="00903BCB" w:rsidRDefault="00F214DB" w:rsidP="00F214DB">
            <w:pPr>
              <w:autoSpaceDE/>
              <w:autoSpaceDN/>
              <w:adjustRightInd/>
              <w:ind w:left="0" w:right="0"/>
              <w:jc w:val="center"/>
              <w:rPr>
                <w:rFonts w:eastAsia="Times New Roman"/>
                <w:b/>
                <w:bCs/>
                <w:color w:val="000000"/>
                <w:sz w:val="24"/>
                <w:szCs w:val="24"/>
              </w:rPr>
            </w:pPr>
            <w:r w:rsidRPr="00903BCB">
              <w:rPr>
                <w:rFonts w:eastAsia="Times New Roman"/>
                <w:b/>
                <w:bCs/>
                <w:color w:val="000000"/>
                <w:sz w:val="24"/>
                <w:szCs w:val="24"/>
              </w:rPr>
              <w:t>Responsibility</w:t>
            </w:r>
          </w:p>
        </w:tc>
        <w:tc>
          <w:tcPr>
            <w:tcW w:w="1760" w:type="dxa"/>
            <w:tcBorders>
              <w:top w:val="single" w:sz="8" w:space="0" w:color="auto"/>
              <w:left w:val="nil"/>
              <w:bottom w:val="single" w:sz="8" w:space="0" w:color="auto"/>
              <w:right w:val="single" w:sz="8" w:space="0" w:color="auto"/>
            </w:tcBorders>
            <w:shd w:val="clear" w:color="000000" w:fill="8DB3E2"/>
            <w:vAlign w:val="center"/>
            <w:hideMark/>
          </w:tcPr>
          <w:p w14:paraId="27C07337" w14:textId="77777777" w:rsidR="00F214DB" w:rsidRPr="00903BCB" w:rsidRDefault="00F214DB" w:rsidP="00F214DB">
            <w:pPr>
              <w:autoSpaceDE/>
              <w:autoSpaceDN/>
              <w:adjustRightInd/>
              <w:ind w:left="0" w:right="0"/>
              <w:jc w:val="center"/>
              <w:rPr>
                <w:rFonts w:eastAsia="Times New Roman"/>
                <w:b/>
                <w:bCs/>
                <w:color w:val="000000"/>
                <w:sz w:val="24"/>
                <w:szCs w:val="24"/>
              </w:rPr>
            </w:pPr>
            <w:r w:rsidRPr="00903BCB">
              <w:rPr>
                <w:rFonts w:eastAsia="Times New Roman"/>
                <w:b/>
                <w:bCs/>
                <w:color w:val="000000"/>
                <w:sz w:val="24"/>
                <w:szCs w:val="24"/>
              </w:rPr>
              <w:t>Comment</w:t>
            </w:r>
            <w:r w:rsidR="00D1675A" w:rsidRPr="00903BCB">
              <w:rPr>
                <w:rFonts w:eastAsia="Times New Roman"/>
                <w:b/>
                <w:bCs/>
                <w:color w:val="000000"/>
                <w:sz w:val="24"/>
                <w:szCs w:val="24"/>
              </w:rPr>
              <w:t>s</w:t>
            </w:r>
          </w:p>
        </w:tc>
      </w:tr>
      <w:tr w:rsidR="00F214DB" w:rsidRPr="00903BCB" w14:paraId="662A865A" w14:textId="77777777" w:rsidTr="00F214DB">
        <w:trPr>
          <w:trHeight w:val="320"/>
        </w:trPr>
        <w:tc>
          <w:tcPr>
            <w:tcW w:w="127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74A3D9D" w14:textId="77777777" w:rsidR="00F214DB" w:rsidRPr="00903BCB" w:rsidRDefault="00F214DB" w:rsidP="00F214DB">
            <w:pPr>
              <w:autoSpaceDE/>
              <w:autoSpaceDN/>
              <w:adjustRightInd/>
              <w:ind w:left="0" w:right="0"/>
              <w:rPr>
                <w:rFonts w:eastAsia="Times New Roman"/>
                <w:b/>
                <w:bCs/>
                <w:color w:val="000000"/>
                <w:sz w:val="24"/>
                <w:szCs w:val="24"/>
              </w:rPr>
            </w:pPr>
            <w:r w:rsidRPr="00903BCB">
              <w:rPr>
                <w:rFonts w:eastAsia="Times New Roman"/>
                <w:b/>
                <w:bCs/>
                <w:color w:val="000000"/>
                <w:sz w:val="24"/>
                <w:szCs w:val="24"/>
              </w:rPr>
              <w:t>1.Central Level</w:t>
            </w:r>
          </w:p>
        </w:tc>
      </w:tr>
      <w:tr w:rsidR="00F214DB" w:rsidRPr="00903BCB" w14:paraId="1B00744F" w14:textId="77777777" w:rsidTr="00F214DB">
        <w:trPr>
          <w:trHeight w:val="560"/>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8710E21" w14:textId="77777777" w:rsidR="00F214DB" w:rsidRPr="00903BCB" w:rsidRDefault="00F214DB" w:rsidP="00F214DB">
            <w:pPr>
              <w:autoSpaceDE/>
              <w:autoSpaceDN/>
              <w:adjustRightInd/>
              <w:ind w:left="0" w:right="0"/>
              <w:jc w:val="center"/>
              <w:rPr>
                <w:rFonts w:eastAsia="Times New Roman"/>
                <w:color w:val="000000"/>
                <w:sz w:val="24"/>
                <w:szCs w:val="24"/>
              </w:rPr>
            </w:pPr>
            <w:r w:rsidRPr="00903BCB">
              <w:rPr>
                <w:rFonts w:eastAsia="Times New Roman"/>
                <w:color w:val="000000"/>
                <w:sz w:val="24"/>
                <w:szCs w:val="24"/>
              </w:rPr>
              <w:t>Cabinet (The Prime Minister and the Council of Ministers)</w:t>
            </w:r>
          </w:p>
        </w:tc>
        <w:tc>
          <w:tcPr>
            <w:tcW w:w="8840" w:type="dxa"/>
            <w:tcBorders>
              <w:top w:val="nil"/>
              <w:left w:val="nil"/>
              <w:bottom w:val="nil"/>
              <w:right w:val="single" w:sz="8" w:space="0" w:color="auto"/>
            </w:tcBorders>
            <w:shd w:val="clear" w:color="auto" w:fill="auto"/>
            <w:vAlign w:val="center"/>
            <w:hideMark/>
          </w:tcPr>
          <w:p w14:paraId="7437BCE3"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1. To manage the affairs of the state, draw the general policy of the government and supervise the running of business in various government departments.</w:t>
            </w:r>
          </w:p>
        </w:tc>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563373" w14:textId="7C6B2700" w:rsidR="00F214DB" w:rsidRPr="00903BCB" w:rsidRDefault="00F214DB" w:rsidP="00F214DB">
            <w:pPr>
              <w:autoSpaceDE/>
              <w:autoSpaceDN/>
              <w:adjustRightInd/>
              <w:ind w:left="0" w:right="0"/>
              <w:jc w:val="center"/>
              <w:rPr>
                <w:rFonts w:eastAsia="Times New Roman"/>
                <w:color w:val="000000"/>
                <w:sz w:val="24"/>
                <w:szCs w:val="24"/>
              </w:rPr>
            </w:pPr>
            <w:r w:rsidRPr="00903BCB">
              <w:rPr>
                <w:rFonts w:eastAsia="Times New Roman"/>
                <w:color w:val="000000"/>
                <w:sz w:val="24"/>
                <w:szCs w:val="24"/>
              </w:rPr>
              <w:t xml:space="preserve">The Prime Minister </w:t>
            </w:r>
            <w:r w:rsidR="004F6780" w:rsidRPr="00903BCB">
              <w:rPr>
                <w:rFonts w:eastAsia="Times New Roman"/>
                <w:color w:val="000000"/>
                <w:sz w:val="24"/>
                <w:szCs w:val="24"/>
              </w:rPr>
              <w:t xml:space="preserve">is </w:t>
            </w:r>
            <w:r w:rsidRPr="00903BCB">
              <w:rPr>
                <w:rFonts w:eastAsia="Times New Roman"/>
                <w:color w:val="000000"/>
                <w:sz w:val="24"/>
                <w:szCs w:val="24"/>
              </w:rPr>
              <w:t xml:space="preserve">nominated by the </w:t>
            </w:r>
            <w:r w:rsidR="00AD2A25" w:rsidRPr="00903BCB">
              <w:rPr>
                <w:rFonts w:eastAsia="Times New Roman"/>
                <w:color w:val="000000"/>
                <w:sz w:val="24"/>
                <w:szCs w:val="24"/>
              </w:rPr>
              <w:t>K</w:t>
            </w:r>
            <w:r w:rsidRPr="00903BCB">
              <w:rPr>
                <w:rFonts w:eastAsia="Times New Roman"/>
                <w:color w:val="000000"/>
                <w:sz w:val="24"/>
                <w:szCs w:val="24"/>
              </w:rPr>
              <w:t>ing.</w:t>
            </w:r>
          </w:p>
        </w:tc>
      </w:tr>
      <w:tr w:rsidR="00F214DB" w:rsidRPr="00903BCB" w14:paraId="2F96010B" w14:textId="77777777" w:rsidTr="00F214DB">
        <w:trPr>
          <w:trHeight w:val="780"/>
        </w:trPr>
        <w:tc>
          <w:tcPr>
            <w:tcW w:w="2180" w:type="dxa"/>
            <w:vMerge/>
            <w:tcBorders>
              <w:top w:val="nil"/>
              <w:left w:val="single" w:sz="8" w:space="0" w:color="auto"/>
              <w:bottom w:val="single" w:sz="8" w:space="0" w:color="000000"/>
              <w:right w:val="single" w:sz="8" w:space="0" w:color="auto"/>
            </w:tcBorders>
            <w:vAlign w:val="center"/>
            <w:hideMark/>
          </w:tcPr>
          <w:p w14:paraId="7B7AB0A5"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nil"/>
              <w:bottom w:val="nil"/>
              <w:right w:val="single" w:sz="8" w:space="0" w:color="auto"/>
            </w:tcBorders>
            <w:shd w:val="clear" w:color="auto" w:fill="auto"/>
            <w:vAlign w:val="center"/>
            <w:hideMark/>
          </w:tcPr>
          <w:p w14:paraId="2CD7A1C1" w14:textId="07DE7640"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2. The powers of the Council</w:t>
            </w:r>
            <w:r w:rsidR="00A24D84" w:rsidRPr="00903BCB">
              <w:rPr>
                <w:rFonts w:eastAsia="Times New Roman"/>
                <w:color w:val="000000"/>
                <w:sz w:val="24"/>
                <w:szCs w:val="24"/>
              </w:rPr>
              <w:t xml:space="preserve">, </w:t>
            </w:r>
            <w:r w:rsidRPr="00903BCB">
              <w:rPr>
                <w:rFonts w:eastAsia="Times New Roman"/>
                <w:color w:val="000000"/>
                <w:sz w:val="24"/>
                <w:szCs w:val="24"/>
              </w:rPr>
              <w:t>the Prime Minister and ministers are determined by regulations issued by the Council of Ministers and go through constitutional channels to be ratified by the King.</w:t>
            </w:r>
          </w:p>
        </w:tc>
        <w:tc>
          <w:tcPr>
            <w:tcW w:w="1760" w:type="dxa"/>
            <w:vMerge/>
            <w:tcBorders>
              <w:top w:val="nil"/>
              <w:left w:val="single" w:sz="8" w:space="0" w:color="auto"/>
              <w:bottom w:val="single" w:sz="8" w:space="0" w:color="000000"/>
              <w:right w:val="single" w:sz="8" w:space="0" w:color="auto"/>
            </w:tcBorders>
            <w:vAlign w:val="center"/>
            <w:hideMark/>
          </w:tcPr>
          <w:p w14:paraId="67652DAC"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17ABE78B" w14:textId="77777777" w:rsidTr="00F214DB">
        <w:trPr>
          <w:trHeight w:val="860"/>
        </w:trPr>
        <w:tc>
          <w:tcPr>
            <w:tcW w:w="2180" w:type="dxa"/>
            <w:vMerge/>
            <w:tcBorders>
              <w:top w:val="nil"/>
              <w:left w:val="single" w:sz="8" w:space="0" w:color="auto"/>
              <w:bottom w:val="single" w:sz="8" w:space="0" w:color="000000"/>
              <w:right w:val="single" w:sz="8" w:space="0" w:color="auto"/>
            </w:tcBorders>
            <w:vAlign w:val="center"/>
            <w:hideMark/>
          </w:tcPr>
          <w:p w14:paraId="28B2C981"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nil"/>
              <w:bottom w:val="single" w:sz="8" w:space="0" w:color="auto"/>
              <w:right w:val="single" w:sz="8" w:space="0" w:color="auto"/>
            </w:tcBorders>
            <w:shd w:val="clear" w:color="auto" w:fill="auto"/>
            <w:vAlign w:val="center"/>
            <w:hideMark/>
          </w:tcPr>
          <w:p w14:paraId="6DE930C7"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3. The Prime Minister exercises that which falls within his authority. He refers other matters to the Council of Ministers to deal with. The Council of Ministers may delegate any powers to the Prime Minister or any other minister.</w:t>
            </w:r>
          </w:p>
        </w:tc>
        <w:tc>
          <w:tcPr>
            <w:tcW w:w="1760" w:type="dxa"/>
            <w:vMerge/>
            <w:tcBorders>
              <w:top w:val="nil"/>
              <w:left w:val="single" w:sz="8" w:space="0" w:color="auto"/>
              <w:bottom w:val="single" w:sz="8" w:space="0" w:color="000000"/>
              <w:right w:val="single" w:sz="8" w:space="0" w:color="auto"/>
            </w:tcBorders>
            <w:vAlign w:val="center"/>
            <w:hideMark/>
          </w:tcPr>
          <w:p w14:paraId="2601371C"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7496E62A" w14:textId="77777777" w:rsidTr="002C7E95">
        <w:trPr>
          <w:trHeight w:val="74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38DE8614" w14:textId="77777777" w:rsidR="00F214DB" w:rsidRPr="00903BCB" w:rsidRDefault="00F214DB" w:rsidP="00F214DB">
            <w:pPr>
              <w:autoSpaceDE/>
              <w:autoSpaceDN/>
              <w:adjustRightInd/>
              <w:ind w:left="0" w:right="0"/>
              <w:jc w:val="center"/>
              <w:rPr>
                <w:rFonts w:eastAsia="Times New Roman"/>
                <w:color w:val="000000"/>
                <w:sz w:val="24"/>
                <w:szCs w:val="24"/>
              </w:rPr>
            </w:pPr>
            <w:r w:rsidRPr="00903BCB">
              <w:rPr>
                <w:rFonts w:eastAsia="Times New Roman"/>
                <w:color w:val="000000"/>
                <w:sz w:val="24"/>
                <w:szCs w:val="24"/>
              </w:rPr>
              <w:t>Ministries-Ministers</w:t>
            </w:r>
          </w:p>
        </w:tc>
        <w:tc>
          <w:tcPr>
            <w:tcW w:w="8840" w:type="dxa"/>
            <w:tcBorders>
              <w:top w:val="nil"/>
              <w:left w:val="nil"/>
              <w:bottom w:val="nil"/>
              <w:right w:val="single" w:sz="8" w:space="0" w:color="auto"/>
            </w:tcBorders>
            <w:shd w:val="clear" w:color="auto" w:fill="auto"/>
            <w:vAlign w:val="center"/>
            <w:hideMark/>
          </w:tcPr>
          <w:p w14:paraId="4BCA8B26" w14:textId="03CD3E23" w:rsidR="00F214DB" w:rsidRPr="00903BCB" w:rsidRDefault="00F214DB" w:rsidP="0017627C">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1. Each minister participates within the Council of Ministers </w:t>
            </w:r>
            <w:r w:rsidR="00130F85" w:rsidRPr="00903BCB">
              <w:rPr>
                <w:rFonts w:eastAsia="Times New Roman"/>
                <w:color w:val="000000"/>
                <w:sz w:val="24"/>
                <w:szCs w:val="24"/>
              </w:rPr>
              <w:t>to</w:t>
            </w:r>
            <w:r w:rsidRPr="00903BCB">
              <w:rPr>
                <w:rFonts w:eastAsia="Times New Roman"/>
                <w:color w:val="000000"/>
                <w:sz w:val="24"/>
                <w:szCs w:val="24"/>
              </w:rPr>
              <w:t xml:space="preserve"> </w:t>
            </w:r>
            <w:r w:rsidR="00130F85" w:rsidRPr="00903BCB">
              <w:rPr>
                <w:rFonts w:eastAsia="Times New Roman"/>
                <w:color w:val="000000"/>
                <w:sz w:val="24"/>
                <w:szCs w:val="24"/>
              </w:rPr>
              <w:t>develop</w:t>
            </w:r>
            <w:r w:rsidR="0017627C" w:rsidRPr="00903BCB">
              <w:rPr>
                <w:rFonts w:eastAsia="Times New Roman"/>
                <w:color w:val="000000"/>
                <w:sz w:val="24"/>
                <w:szCs w:val="24"/>
              </w:rPr>
              <w:t xml:space="preserve"> policies</w:t>
            </w:r>
            <w:r w:rsidRPr="00903BCB">
              <w:rPr>
                <w:rFonts w:eastAsia="Times New Roman"/>
                <w:color w:val="000000"/>
                <w:sz w:val="24"/>
                <w:szCs w:val="24"/>
              </w:rPr>
              <w:t xml:space="preserve"> and </w:t>
            </w:r>
            <w:r w:rsidR="00130F85" w:rsidRPr="00903BCB">
              <w:rPr>
                <w:rFonts w:eastAsia="Times New Roman"/>
                <w:color w:val="000000"/>
                <w:sz w:val="24"/>
                <w:szCs w:val="24"/>
              </w:rPr>
              <w:t xml:space="preserve"> manage</w:t>
            </w:r>
            <w:r w:rsidR="0017627C" w:rsidRPr="00903BCB">
              <w:rPr>
                <w:rFonts w:eastAsia="Times New Roman"/>
                <w:color w:val="000000"/>
                <w:sz w:val="24"/>
                <w:szCs w:val="24"/>
              </w:rPr>
              <w:t xml:space="preserve"> </w:t>
            </w:r>
            <w:r w:rsidRPr="00903BCB">
              <w:rPr>
                <w:rFonts w:eastAsia="Times New Roman"/>
                <w:color w:val="000000"/>
                <w:sz w:val="24"/>
                <w:szCs w:val="24"/>
              </w:rPr>
              <w:t>its internal and external affairs.</w:t>
            </w:r>
          </w:p>
        </w:tc>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449217F" w14:textId="3383D309" w:rsidR="00F214DB" w:rsidRPr="00903BCB" w:rsidRDefault="004F6780" w:rsidP="00F214DB">
            <w:pPr>
              <w:autoSpaceDE/>
              <w:autoSpaceDN/>
              <w:adjustRightInd/>
              <w:ind w:left="0" w:right="0"/>
              <w:jc w:val="center"/>
              <w:rPr>
                <w:rFonts w:eastAsia="Times New Roman"/>
                <w:color w:val="000000"/>
                <w:sz w:val="24"/>
                <w:szCs w:val="24"/>
              </w:rPr>
            </w:pPr>
            <w:r w:rsidRPr="00903BCB">
              <w:rPr>
                <w:rFonts w:eastAsia="Times New Roman"/>
                <w:color w:val="000000"/>
                <w:sz w:val="24"/>
                <w:szCs w:val="24"/>
              </w:rPr>
              <w:t>M</w:t>
            </w:r>
            <w:r w:rsidR="00F214DB" w:rsidRPr="00903BCB">
              <w:rPr>
                <w:rFonts w:eastAsia="Times New Roman"/>
                <w:color w:val="000000"/>
                <w:sz w:val="24"/>
                <w:szCs w:val="24"/>
              </w:rPr>
              <w:t xml:space="preserve">inisters </w:t>
            </w:r>
            <w:r w:rsidRPr="00903BCB">
              <w:rPr>
                <w:rFonts w:eastAsia="Times New Roman"/>
                <w:color w:val="000000"/>
                <w:sz w:val="24"/>
                <w:szCs w:val="24"/>
              </w:rPr>
              <w:t xml:space="preserve">are </w:t>
            </w:r>
            <w:r w:rsidR="00F214DB" w:rsidRPr="00903BCB">
              <w:rPr>
                <w:rFonts w:eastAsia="Times New Roman"/>
                <w:color w:val="000000"/>
                <w:sz w:val="24"/>
                <w:szCs w:val="24"/>
              </w:rPr>
              <w:t xml:space="preserve">nominated by the </w:t>
            </w:r>
            <w:r w:rsidRPr="00903BCB">
              <w:rPr>
                <w:rFonts w:eastAsia="Times New Roman"/>
                <w:color w:val="000000"/>
                <w:sz w:val="24"/>
                <w:szCs w:val="24"/>
              </w:rPr>
              <w:t>P</w:t>
            </w:r>
            <w:r w:rsidR="00F214DB" w:rsidRPr="00903BCB">
              <w:rPr>
                <w:rFonts w:eastAsia="Times New Roman"/>
                <w:color w:val="000000"/>
                <w:sz w:val="24"/>
                <w:szCs w:val="24"/>
              </w:rPr>
              <w:t>rim</w:t>
            </w:r>
            <w:r w:rsidR="00B120A2" w:rsidRPr="00903BCB">
              <w:rPr>
                <w:rFonts w:eastAsia="Times New Roman"/>
                <w:color w:val="000000"/>
                <w:sz w:val="24"/>
                <w:szCs w:val="24"/>
              </w:rPr>
              <w:t xml:space="preserve">e </w:t>
            </w:r>
            <w:r w:rsidRPr="00903BCB">
              <w:rPr>
                <w:rFonts w:eastAsia="Times New Roman"/>
                <w:color w:val="000000"/>
                <w:sz w:val="24"/>
                <w:szCs w:val="24"/>
              </w:rPr>
              <w:t>M</w:t>
            </w:r>
            <w:r w:rsidR="00B120A2" w:rsidRPr="00903BCB">
              <w:rPr>
                <w:rFonts w:eastAsia="Times New Roman"/>
                <w:color w:val="000000"/>
                <w:sz w:val="24"/>
                <w:szCs w:val="24"/>
              </w:rPr>
              <w:t xml:space="preserve">inister and approved by the </w:t>
            </w:r>
            <w:r w:rsidR="00AD2A25" w:rsidRPr="00903BCB">
              <w:rPr>
                <w:rFonts w:eastAsia="Times New Roman"/>
                <w:color w:val="000000"/>
                <w:sz w:val="24"/>
                <w:szCs w:val="24"/>
              </w:rPr>
              <w:t>K</w:t>
            </w:r>
            <w:r w:rsidR="00F214DB" w:rsidRPr="00903BCB">
              <w:rPr>
                <w:rFonts w:eastAsia="Times New Roman"/>
                <w:color w:val="000000"/>
                <w:sz w:val="24"/>
                <w:szCs w:val="24"/>
              </w:rPr>
              <w:t>ing.</w:t>
            </w:r>
          </w:p>
        </w:tc>
      </w:tr>
      <w:tr w:rsidR="00F214DB" w:rsidRPr="00903BCB" w14:paraId="28548602" w14:textId="77777777" w:rsidTr="00F214DB">
        <w:trPr>
          <w:trHeight w:val="1400"/>
        </w:trPr>
        <w:tc>
          <w:tcPr>
            <w:tcW w:w="2180" w:type="dxa"/>
            <w:vMerge/>
            <w:tcBorders>
              <w:top w:val="nil"/>
              <w:left w:val="single" w:sz="8" w:space="0" w:color="auto"/>
              <w:bottom w:val="single" w:sz="8" w:space="0" w:color="000000"/>
              <w:right w:val="single" w:sz="8" w:space="0" w:color="auto"/>
            </w:tcBorders>
            <w:vAlign w:val="center"/>
            <w:hideMark/>
          </w:tcPr>
          <w:p w14:paraId="5C08E213"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nil"/>
              <w:bottom w:val="nil"/>
              <w:right w:val="single" w:sz="8" w:space="0" w:color="auto"/>
            </w:tcBorders>
            <w:shd w:val="clear" w:color="auto" w:fill="auto"/>
            <w:vAlign w:val="center"/>
            <w:hideMark/>
          </w:tcPr>
          <w:p w14:paraId="5BD5E6D1" w14:textId="20DF081B" w:rsidR="00F214DB" w:rsidRPr="00903BCB" w:rsidRDefault="00F214DB" w:rsidP="004F6780">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2. A minister holds the highest position in the administration of his ministry. He is responsible for </w:t>
            </w:r>
            <w:r w:rsidR="004F6780" w:rsidRPr="00903BCB">
              <w:rPr>
                <w:rFonts w:eastAsia="Times New Roman"/>
                <w:color w:val="000000"/>
                <w:sz w:val="24"/>
                <w:szCs w:val="24"/>
              </w:rPr>
              <w:t xml:space="preserve">overseeing </w:t>
            </w:r>
            <w:r w:rsidRPr="00903BCB">
              <w:rPr>
                <w:rFonts w:eastAsia="Times New Roman"/>
                <w:color w:val="000000"/>
                <w:sz w:val="24"/>
                <w:szCs w:val="24"/>
              </w:rPr>
              <w:t xml:space="preserve">its affairs and </w:t>
            </w:r>
            <w:r w:rsidR="004F6780" w:rsidRPr="00903BCB">
              <w:rPr>
                <w:rFonts w:eastAsia="Times New Roman"/>
                <w:color w:val="000000"/>
                <w:sz w:val="24"/>
                <w:szCs w:val="24"/>
              </w:rPr>
              <w:t>making crucial</w:t>
            </w:r>
            <w:r w:rsidRPr="00903BCB">
              <w:rPr>
                <w:rFonts w:eastAsia="Times New Roman"/>
                <w:color w:val="000000"/>
                <w:sz w:val="24"/>
                <w:szCs w:val="24"/>
              </w:rPr>
              <w:t xml:space="preserve"> decisions. He is the main executor of resolutions related to staff in various departments connected to him, and and </w:t>
            </w:r>
            <w:r w:rsidR="00130F85" w:rsidRPr="00903BCB">
              <w:rPr>
                <w:rFonts w:eastAsia="Times New Roman"/>
                <w:color w:val="000000"/>
                <w:sz w:val="24"/>
                <w:szCs w:val="24"/>
              </w:rPr>
              <w:t xml:space="preserve">he </w:t>
            </w:r>
            <w:r w:rsidRPr="00903BCB">
              <w:rPr>
                <w:rFonts w:eastAsia="Times New Roman"/>
                <w:color w:val="000000"/>
                <w:sz w:val="24"/>
                <w:szCs w:val="24"/>
              </w:rPr>
              <w:t>follows up the administrative development therein, which includes the allocation of functions to the staff of a particular departments.</w:t>
            </w:r>
          </w:p>
        </w:tc>
        <w:tc>
          <w:tcPr>
            <w:tcW w:w="1760" w:type="dxa"/>
            <w:vMerge/>
            <w:tcBorders>
              <w:top w:val="nil"/>
              <w:left w:val="single" w:sz="8" w:space="0" w:color="auto"/>
              <w:bottom w:val="single" w:sz="8" w:space="0" w:color="000000"/>
              <w:right w:val="single" w:sz="8" w:space="0" w:color="auto"/>
            </w:tcBorders>
            <w:vAlign w:val="center"/>
            <w:hideMark/>
          </w:tcPr>
          <w:p w14:paraId="3804B9B1"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2C7E95" w:rsidRPr="00903BCB" w14:paraId="70F99C8C" w14:textId="77777777" w:rsidTr="002C7E95">
        <w:trPr>
          <w:trHeight w:val="520"/>
        </w:trPr>
        <w:tc>
          <w:tcPr>
            <w:tcW w:w="2180" w:type="dxa"/>
            <w:vMerge/>
            <w:tcBorders>
              <w:top w:val="nil"/>
              <w:left w:val="single" w:sz="8" w:space="0" w:color="auto"/>
              <w:bottom w:val="single" w:sz="8" w:space="0" w:color="000000"/>
              <w:right w:val="single" w:sz="8" w:space="0" w:color="auto"/>
            </w:tcBorders>
            <w:vAlign w:val="center"/>
            <w:hideMark/>
          </w:tcPr>
          <w:p w14:paraId="4DA5B1E0"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nil"/>
              <w:bottom w:val="nil"/>
              <w:right w:val="single" w:sz="8" w:space="0" w:color="auto"/>
            </w:tcBorders>
            <w:shd w:val="clear" w:color="auto" w:fill="auto"/>
            <w:vAlign w:val="center"/>
            <w:hideMark/>
          </w:tcPr>
          <w:p w14:paraId="68A5AC39" w14:textId="6481A2E1" w:rsidR="00F214DB" w:rsidRPr="00903BCB" w:rsidRDefault="00F214DB" w:rsidP="00130F85">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3. </w:t>
            </w:r>
            <w:r w:rsidR="004F6780" w:rsidRPr="00903BCB">
              <w:rPr>
                <w:rFonts w:eastAsia="Times New Roman"/>
                <w:color w:val="000000"/>
                <w:sz w:val="24"/>
                <w:szCs w:val="24"/>
              </w:rPr>
              <w:t xml:space="preserve">A minister </w:t>
            </w:r>
            <w:r w:rsidRPr="00903BCB">
              <w:rPr>
                <w:rFonts w:eastAsia="Times New Roman"/>
                <w:color w:val="000000"/>
                <w:sz w:val="24"/>
                <w:szCs w:val="24"/>
              </w:rPr>
              <w:t xml:space="preserve">applies proposals that guarantee the smooth </w:t>
            </w:r>
            <w:r w:rsidR="00130F85" w:rsidRPr="00903BCB">
              <w:rPr>
                <w:rFonts w:eastAsia="Times New Roman"/>
                <w:color w:val="000000"/>
                <w:sz w:val="24"/>
                <w:szCs w:val="24"/>
              </w:rPr>
              <w:t>functioning of</w:t>
            </w:r>
            <w:r w:rsidRPr="00903BCB">
              <w:rPr>
                <w:rFonts w:eastAsia="Times New Roman"/>
                <w:color w:val="000000"/>
                <w:sz w:val="24"/>
                <w:szCs w:val="24"/>
              </w:rPr>
              <w:t xml:space="preserve"> government</w:t>
            </w:r>
            <w:r w:rsidR="00130F85" w:rsidRPr="00903BCB">
              <w:rPr>
                <w:rFonts w:eastAsia="Times New Roman"/>
                <w:color w:val="000000"/>
                <w:sz w:val="24"/>
                <w:szCs w:val="24"/>
              </w:rPr>
              <w:t>;</w:t>
            </w:r>
            <w:r w:rsidRPr="00903BCB">
              <w:rPr>
                <w:rFonts w:eastAsia="Times New Roman"/>
                <w:color w:val="000000"/>
                <w:sz w:val="24"/>
                <w:szCs w:val="24"/>
              </w:rPr>
              <w:t xml:space="preserve"> save </w:t>
            </w:r>
            <w:r w:rsidR="00130F85" w:rsidRPr="00903BCB">
              <w:rPr>
                <w:rFonts w:eastAsia="Times New Roman"/>
                <w:color w:val="000000"/>
                <w:sz w:val="24"/>
                <w:szCs w:val="24"/>
              </w:rPr>
              <w:t>time, money and effort;</w:t>
            </w:r>
            <w:r w:rsidRPr="00903BCB">
              <w:rPr>
                <w:rFonts w:eastAsia="Times New Roman"/>
                <w:color w:val="000000"/>
                <w:sz w:val="24"/>
                <w:szCs w:val="24"/>
              </w:rPr>
              <w:t xml:space="preserve"> and guarantee </w:t>
            </w:r>
            <w:r w:rsidR="00130F85" w:rsidRPr="00903BCB">
              <w:rPr>
                <w:rFonts w:eastAsia="Times New Roman"/>
                <w:color w:val="000000"/>
                <w:sz w:val="24"/>
                <w:szCs w:val="24"/>
              </w:rPr>
              <w:t>public service delivery</w:t>
            </w:r>
            <w:r w:rsidRPr="00903BCB">
              <w:rPr>
                <w:rFonts w:eastAsia="Times New Roman"/>
                <w:color w:val="000000"/>
                <w:sz w:val="24"/>
                <w:szCs w:val="24"/>
              </w:rPr>
              <w:t xml:space="preserve">. He is the paymaster in his ministry and he represents the </w:t>
            </w:r>
            <w:r w:rsidR="00130F85" w:rsidRPr="00903BCB">
              <w:rPr>
                <w:rFonts w:eastAsia="Times New Roman"/>
                <w:color w:val="000000"/>
                <w:sz w:val="24"/>
                <w:szCs w:val="24"/>
              </w:rPr>
              <w:t>S</w:t>
            </w:r>
            <w:r w:rsidRPr="00903BCB">
              <w:rPr>
                <w:rFonts w:eastAsia="Times New Roman"/>
                <w:color w:val="000000"/>
                <w:sz w:val="24"/>
                <w:szCs w:val="24"/>
              </w:rPr>
              <w:t>tate within the limits of his authority and the authority of his ministry.</w:t>
            </w:r>
          </w:p>
        </w:tc>
        <w:tc>
          <w:tcPr>
            <w:tcW w:w="1760" w:type="dxa"/>
            <w:vMerge/>
            <w:tcBorders>
              <w:top w:val="nil"/>
              <w:left w:val="single" w:sz="8" w:space="0" w:color="auto"/>
              <w:bottom w:val="single" w:sz="8" w:space="0" w:color="000000"/>
              <w:right w:val="single" w:sz="8" w:space="0" w:color="auto"/>
            </w:tcBorders>
            <w:vAlign w:val="center"/>
            <w:hideMark/>
          </w:tcPr>
          <w:p w14:paraId="36CCFC58"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5E8812E4" w14:textId="77777777" w:rsidTr="00C40D60">
        <w:trPr>
          <w:trHeight w:val="320"/>
        </w:trPr>
        <w:tc>
          <w:tcPr>
            <w:tcW w:w="11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2F7AC3C" w14:textId="77777777" w:rsidR="00F214DB" w:rsidRPr="00903BCB" w:rsidRDefault="00F214DB" w:rsidP="00F214DB">
            <w:pPr>
              <w:autoSpaceDE/>
              <w:autoSpaceDN/>
              <w:adjustRightInd/>
              <w:ind w:left="0" w:right="0"/>
              <w:rPr>
                <w:rFonts w:eastAsia="Times New Roman"/>
                <w:b/>
                <w:bCs/>
                <w:color w:val="000000"/>
                <w:sz w:val="24"/>
                <w:szCs w:val="24"/>
              </w:rPr>
            </w:pPr>
            <w:r w:rsidRPr="00903BCB">
              <w:rPr>
                <w:rFonts w:eastAsia="Times New Roman"/>
                <w:b/>
                <w:bCs/>
                <w:color w:val="000000"/>
                <w:sz w:val="24"/>
                <w:szCs w:val="24"/>
              </w:rPr>
              <w:t>2. Local Level</w:t>
            </w:r>
          </w:p>
        </w:tc>
        <w:tc>
          <w:tcPr>
            <w:tcW w:w="1760" w:type="dxa"/>
            <w:tcBorders>
              <w:top w:val="nil"/>
              <w:left w:val="nil"/>
              <w:bottom w:val="single" w:sz="4" w:space="0" w:color="auto"/>
              <w:right w:val="single" w:sz="8" w:space="0" w:color="auto"/>
            </w:tcBorders>
            <w:shd w:val="clear" w:color="auto" w:fill="auto"/>
            <w:vAlign w:val="center"/>
            <w:hideMark/>
          </w:tcPr>
          <w:p w14:paraId="6297398F" w14:textId="77777777" w:rsidR="00F214DB" w:rsidRPr="00903BCB" w:rsidRDefault="00F214DB" w:rsidP="00F214DB">
            <w:pPr>
              <w:autoSpaceDE/>
              <w:autoSpaceDN/>
              <w:adjustRightInd/>
              <w:ind w:left="0" w:right="0"/>
              <w:rPr>
                <w:rFonts w:eastAsia="Times New Roman"/>
                <w:b/>
                <w:bCs/>
                <w:color w:val="000000"/>
                <w:sz w:val="24"/>
                <w:szCs w:val="24"/>
              </w:rPr>
            </w:pPr>
            <w:r w:rsidRPr="00903BCB">
              <w:rPr>
                <w:rFonts w:eastAsia="Times New Roman"/>
                <w:b/>
                <w:bCs/>
                <w:color w:val="000000"/>
                <w:sz w:val="24"/>
                <w:szCs w:val="24"/>
              </w:rPr>
              <w:t> </w:t>
            </w:r>
          </w:p>
        </w:tc>
      </w:tr>
      <w:tr w:rsidR="00F214DB" w:rsidRPr="00903BCB" w14:paraId="15A72378" w14:textId="77777777" w:rsidTr="00C40D60">
        <w:trPr>
          <w:trHeight w:val="520"/>
        </w:trPr>
        <w:tc>
          <w:tcPr>
            <w:tcW w:w="2180" w:type="dxa"/>
            <w:vMerge w:val="restart"/>
            <w:tcBorders>
              <w:top w:val="single" w:sz="4" w:space="0" w:color="auto"/>
              <w:left w:val="single" w:sz="4" w:space="0" w:color="auto"/>
              <w:right w:val="single" w:sz="4" w:space="0" w:color="auto"/>
            </w:tcBorders>
            <w:shd w:val="clear" w:color="auto" w:fill="auto"/>
            <w:vAlign w:val="center"/>
            <w:hideMark/>
          </w:tcPr>
          <w:p w14:paraId="25499CE8" w14:textId="77777777" w:rsidR="00F214DB" w:rsidRPr="00903BCB" w:rsidRDefault="00F214DB" w:rsidP="00F214DB">
            <w:pPr>
              <w:autoSpaceDE/>
              <w:autoSpaceDN/>
              <w:adjustRightInd/>
              <w:ind w:left="0" w:right="0"/>
              <w:jc w:val="center"/>
              <w:rPr>
                <w:rFonts w:eastAsia="Times New Roman"/>
                <w:color w:val="000000"/>
                <w:sz w:val="24"/>
                <w:szCs w:val="24"/>
              </w:rPr>
            </w:pPr>
            <w:r w:rsidRPr="00903BCB">
              <w:rPr>
                <w:rFonts w:eastAsia="Times New Roman"/>
                <w:color w:val="000000"/>
                <w:sz w:val="24"/>
                <w:szCs w:val="24"/>
              </w:rPr>
              <w:t>Governorate-Governors</w:t>
            </w:r>
          </w:p>
        </w:tc>
        <w:tc>
          <w:tcPr>
            <w:tcW w:w="8840" w:type="dxa"/>
            <w:tcBorders>
              <w:top w:val="nil"/>
              <w:left w:val="single" w:sz="4" w:space="0" w:color="auto"/>
              <w:bottom w:val="nil"/>
              <w:right w:val="single" w:sz="4" w:space="0" w:color="auto"/>
            </w:tcBorders>
            <w:shd w:val="clear" w:color="auto" w:fill="auto"/>
            <w:vAlign w:val="center"/>
            <w:hideMark/>
          </w:tcPr>
          <w:p w14:paraId="14152F39" w14:textId="5FB26078"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1. He is at the head of administration </w:t>
            </w:r>
            <w:r w:rsidR="00130F85" w:rsidRPr="00903BCB">
              <w:rPr>
                <w:rFonts w:eastAsia="Times New Roman"/>
                <w:color w:val="000000"/>
                <w:sz w:val="24"/>
                <w:szCs w:val="24"/>
              </w:rPr>
              <w:t>of</w:t>
            </w:r>
            <w:r w:rsidRPr="00903BCB">
              <w:rPr>
                <w:rFonts w:eastAsia="Times New Roman"/>
                <w:color w:val="000000"/>
                <w:sz w:val="24"/>
                <w:szCs w:val="24"/>
              </w:rPr>
              <w:t xml:space="preserve"> the </w:t>
            </w:r>
            <w:r w:rsidR="00130F85" w:rsidRPr="00903BCB">
              <w:rPr>
                <w:rFonts w:eastAsia="Times New Roman"/>
                <w:color w:val="000000"/>
                <w:sz w:val="24"/>
                <w:szCs w:val="24"/>
              </w:rPr>
              <w:t>g</w:t>
            </w:r>
            <w:r w:rsidRPr="00903BCB">
              <w:rPr>
                <w:rFonts w:eastAsia="Times New Roman"/>
                <w:color w:val="000000"/>
                <w:sz w:val="24"/>
                <w:szCs w:val="24"/>
              </w:rPr>
              <w:t>overnorate, and report</w:t>
            </w:r>
            <w:r w:rsidR="00AD2A25" w:rsidRPr="00903BCB">
              <w:rPr>
                <w:rFonts w:eastAsia="Times New Roman"/>
                <w:color w:val="000000"/>
                <w:sz w:val="24"/>
                <w:szCs w:val="24"/>
              </w:rPr>
              <w:t>s</w:t>
            </w:r>
            <w:r w:rsidRPr="00903BCB">
              <w:rPr>
                <w:rFonts w:eastAsia="Times New Roman"/>
                <w:color w:val="000000"/>
                <w:sz w:val="24"/>
                <w:szCs w:val="24"/>
              </w:rPr>
              <w:t xml:space="preserve"> to the Minster of Interior. </w:t>
            </w:r>
          </w:p>
        </w:tc>
        <w:tc>
          <w:tcPr>
            <w:tcW w:w="1760" w:type="dxa"/>
            <w:vMerge w:val="restart"/>
            <w:tcBorders>
              <w:top w:val="single" w:sz="4" w:space="0" w:color="auto"/>
              <w:left w:val="single" w:sz="4" w:space="0" w:color="auto"/>
              <w:right w:val="single" w:sz="4" w:space="0" w:color="auto"/>
            </w:tcBorders>
            <w:shd w:val="clear" w:color="auto" w:fill="auto"/>
            <w:vAlign w:val="center"/>
            <w:hideMark/>
          </w:tcPr>
          <w:p w14:paraId="0BC1675D" w14:textId="4C05CA18" w:rsidR="00F214DB" w:rsidRPr="00903BCB" w:rsidRDefault="004F6780" w:rsidP="00F214DB">
            <w:pPr>
              <w:autoSpaceDE/>
              <w:autoSpaceDN/>
              <w:adjustRightInd/>
              <w:ind w:left="0" w:right="0"/>
              <w:jc w:val="center"/>
              <w:rPr>
                <w:rFonts w:eastAsia="Times New Roman"/>
                <w:color w:val="000000"/>
                <w:sz w:val="24"/>
                <w:szCs w:val="24"/>
              </w:rPr>
            </w:pPr>
            <w:r w:rsidRPr="00903BCB">
              <w:rPr>
                <w:rFonts w:eastAsia="Times New Roman"/>
                <w:color w:val="000000"/>
                <w:sz w:val="24"/>
                <w:szCs w:val="24"/>
              </w:rPr>
              <w:t>G</w:t>
            </w:r>
            <w:r w:rsidR="00F214DB" w:rsidRPr="00903BCB">
              <w:rPr>
                <w:rFonts w:eastAsia="Times New Roman"/>
                <w:color w:val="000000"/>
                <w:sz w:val="24"/>
                <w:szCs w:val="24"/>
              </w:rPr>
              <w:t>overnor</w:t>
            </w:r>
            <w:r w:rsidRPr="00903BCB">
              <w:rPr>
                <w:rFonts w:eastAsia="Times New Roman"/>
                <w:color w:val="000000"/>
                <w:sz w:val="24"/>
                <w:szCs w:val="24"/>
              </w:rPr>
              <w:t>s</w:t>
            </w:r>
            <w:r w:rsidR="00F214DB" w:rsidRPr="00903BCB">
              <w:rPr>
                <w:rFonts w:eastAsia="Times New Roman"/>
                <w:color w:val="000000"/>
                <w:sz w:val="24"/>
                <w:szCs w:val="24"/>
              </w:rPr>
              <w:t xml:space="preserve"> </w:t>
            </w:r>
            <w:r w:rsidRPr="00903BCB">
              <w:rPr>
                <w:rFonts w:eastAsia="Times New Roman"/>
                <w:color w:val="000000"/>
                <w:sz w:val="24"/>
                <w:szCs w:val="24"/>
              </w:rPr>
              <w:t>are</w:t>
            </w:r>
            <w:r w:rsidR="00F214DB" w:rsidRPr="00903BCB">
              <w:rPr>
                <w:rFonts w:eastAsia="Times New Roman"/>
                <w:color w:val="000000"/>
                <w:sz w:val="24"/>
                <w:szCs w:val="24"/>
              </w:rPr>
              <w:t xml:space="preserve"> appointed by a decree from the Council of Ministers at the recommendation of the Minster of Interior with Royal Assent.</w:t>
            </w:r>
          </w:p>
        </w:tc>
      </w:tr>
      <w:tr w:rsidR="00F214DB" w:rsidRPr="00903BCB" w14:paraId="0A21FDD4" w14:textId="77777777" w:rsidTr="00C40D60">
        <w:trPr>
          <w:trHeight w:val="560"/>
        </w:trPr>
        <w:tc>
          <w:tcPr>
            <w:tcW w:w="2180" w:type="dxa"/>
            <w:vMerge/>
            <w:tcBorders>
              <w:top w:val="nil"/>
              <w:left w:val="single" w:sz="4" w:space="0" w:color="auto"/>
              <w:right w:val="single" w:sz="4" w:space="0" w:color="auto"/>
            </w:tcBorders>
            <w:vAlign w:val="center"/>
            <w:hideMark/>
          </w:tcPr>
          <w:p w14:paraId="48086D6A"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4" w:space="0" w:color="auto"/>
            </w:tcBorders>
            <w:shd w:val="clear" w:color="auto" w:fill="auto"/>
            <w:vAlign w:val="center"/>
            <w:hideMark/>
          </w:tcPr>
          <w:p w14:paraId="065A458A" w14:textId="16B59E83" w:rsidR="00F214DB" w:rsidRPr="00903BCB" w:rsidRDefault="00F214DB" w:rsidP="004F6780">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2. </w:t>
            </w:r>
            <w:r w:rsidR="004F6780" w:rsidRPr="00903BCB">
              <w:rPr>
                <w:rFonts w:eastAsia="Times New Roman"/>
                <w:color w:val="000000"/>
                <w:sz w:val="24"/>
                <w:szCs w:val="24"/>
              </w:rPr>
              <w:t>A g</w:t>
            </w:r>
            <w:r w:rsidRPr="00903BCB">
              <w:rPr>
                <w:rFonts w:eastAsia="Times New Roman"/>
                <w:color w:val="000000"/>
                <w:sz w:val="24"/>
                <w:szCs w:val="24"/>
              </w:rPr>
              <w:t>overnor supervises the local councils and holds regular meetings for the councils and the committees that he chairs.</w:t>
            </w:r>
          </w:p>
        </w:tc>
        <w:tc>
          <w:tcPr>
            <w:tcW w:w="1760" w:type="dxa"/>
            <w:vMerge/>
            <w:tcBorders>
              <w:left w:val="single" w:sz="4" w:space="0" w:color="auto"/>
              <w:right w:val="single" w:sz="4" w:space="0" w:color="auto"/>
            </w:tcBorders>
            <w:vAlign w:val="center"/>
            <w:hideMark/>
          </w:tcPr>
          <w:p w14:paraId="502A844A"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01204D5A" w14:textId="77777777" w:rsidTr="00C40D60">
        <w:trPr>
          <w:trHeight w:val="1120"/>
        </w:trPr>
        <w:tc>
          <w:tcPr>
            <w:tcW w:w="2180" w:type="dxa"/>
            <w:vMerge/>
            <w:tcBorders>
              <w:top w:val="nil"/>
              <w:left w:val="single" w:sz="4" w:space="0" w:color="auto"/>
              <w:right w:val="single" w:sz="4" w:space="0" w:color="auto"/>
            </w:tcBorders>
            <w:vAlign w:val="center"/>
            <w:hideMark/>
          </w:tcPr>
          <w:p w14:paraId="5513538E"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4" w:space="0" w:color="auto"/>
            </w:tcBorders>
            <w:shd w:val="clear" w:color="auto" w:fill="auto"/>
            <w:vAlign w:val="center"/>
            <w:hideMark/>
          </w:tcPr>
          <w:p w14:paraId="61794880" w14:textId="109C967A" w:rsidR="00F214DB" w:rsidRPr="00903BCB" w:rsidRDefault="00F214DB" w:rsidP="004F6780">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3. </w:t>
            </w:r>
            <w:r w:rsidR="005D0306" w:rsidRPr="00903BCB">
              <w:rPr>
                <w:rFonts w:eastAsia="Times New Roman"/>
                <w:color w:val="000000"/>
                <w:sz w:val="24"/>
                <w:szCs w:val="24"/>
              </w:rPr>
              <w:t>A governor</w:t>
            </w:r>
            <w:r w:rsidRPr="00903BCB">
              <w:rPr>
                <w:rFonts w:eastAsia="Times New Roman"/>
                <w:color w:val="000000"/>
                <w:sz w:val="24"/>
                <w:szCs w:val="24"/>
              </w:rPr>
              <w:t xml:space="preserve"> takes the necessary measures to implement the decisions and recommendations issued by the</w:t>
            </w:r>
            <w:r w:rsidR="004F6780" w:rsidRPr="00903BCB">
              <w:rPr>
                <w:rFonts w:eastAsia="Times New Roman"/>
                <w:color w:val="000000"/>
                <w:sz w:val="24"/>
                <w:szCs w:val="24"/>
              </w:rPr>
              <w:t xml:space="preserve"> local councils and committees</w:t>
            </w:r>
            <w:r w:rsidRPr="00903BCB">
              <w:rPr>
                <w:rFonts w:eastAsia="Times New Roman"/>
                <w:color w:val="000000"/>
                <w:sz w:val="24"/>
                <w:szCs w:val="24"/>
              </w:rPr>
              <w:t>. The Council of Ministers may delegate to the governor any of the powers of the Minister of the Interior. The security forces in the governorate are directly under his command, and he chairs the Government Property Committee in the Governorate.</w:t>
            </w:r>
          </w:p>
        </w:tc>
        <w:tc>
          <w:tcPr>
            <w:tcW w:w="1760" w:type="dxa"/>
            <w:vMerge/>
            <w:tcBorders>
              <w:left w:val="single" w:sz="4" w:space="0" w:color="auto"/>
              <w:right w:val="single" w:sz="4" w:space="0" w:color="auto"/>
            </w:tcBorders>
            <w:vAlign w:val="center"/>
            <w:hideMark/>
          </w:tcPr>
          <w:p w14:paraId="04DF2F25"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34F13743" w14:textId="77777777" w:rsidTr="00C40D60">
        <w:trPr>
          <w:trHeight w:val="840"/>
        </w:trPr>
        <w:tc>
          <w:tcPr>
            <w:tcW w:w="2180" w:type="dxa"/>
            <w:vMerge/>
            <w:tcBorders>
              <w:top w:val="nil"/>
              <w:left w:val="single" w:sz="4" w:space="0" w:color="auto"/>
              <w:right w:val="single" w:sz="4" w:space="0" w:color="auto"/>
            </w:tcBorders>
            <w:vAlign w:val="center"/>
            <w:hideMark/>
          </w:tcPr>
          <w:p w14:paraId="4F441DEE"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4" w:space="0" w:color="auto"/>
            </w:tcBorders>
            <w:shd w:val="clear" w:color="auto" w:fill="auto"/>
            <w:vAlign w:val="center"/>
            <w:hideMark/>
          </w:tcPr>
          <w:p w14:paraId="033D220F" w14:textId="796F0E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4. </w:t>
            </w:r>
            <w:r w:rsidR="005D0306" w:rsidRPr="00903BCB">
              <w:rPr>
                <w:rFonts w:eastAsia="Times New Roman"/>
                <w:color w:val="000000"/>
                <w:sz w:val="24"/>
                <w:szCs w:val="24"/>
              </w:rPr>
              <w:t xml:space="preserve">A governor </w:t>
            </w:r>
            <w:r w:rsidRPr="00903BCB">
              <w:rPr>
                <w:rFonts w:eastAsia="Times New Roman"/>
                <w:color w:val="000000"/>
                <w:sz w:val="24"/>
                <w:szCs w:val="24"/>
              </w:rPr>
              <w:t xml:space="preserve">works in coordination with the relevant authorities, in accordance with laws and regulations in force, to provide public services in the </w:t>
            </w:r>
            <w:r w:rsidR="00130F85" w:rsidRPr="00903BCB">
              <w:rPr>
                <w:rFonts w:eastAsia="Times New Roman"/>
                <w:color w:val="000000"/>
                <w:sz w:val="24"/>
                <w:szCs w:val="24"/>
              </w:rPr>
              <w:t>g</w:t>
            </w:r>
            <w:r w:rsidRPr="00903BCB">
              <w:rPr>
                <w:rFonts w:eastAsia="Times New Roman"/>
                <w:color w:val="000000"/>
                <w:sz w:val="24"/>
                <w:szCs w:val="24"/>
              </w:rPr>
              <w:t xml:space="preserve">overnorate and follow up their development, e.g. </w:t>
            </w:r>
          </w:p>
        </w:tc>
        <w:tc>
          <w:tcPr>
            <w:tcW w:w="1760" w:type="dxa"/>
            <w:vMerge/>
            <w:tcBorders>
              <w:left w:val="single" w:sz="4" w:space="0" w:color="auto"/>
              <w:right w:val="single" w:sz="4" w:space="0" w:color="auto"/>
            </w:tcBorders>
            <w:vAlign w:val="center"/>
            <w:hideMark/>
          </w:tcPr>
          <w:p w14:paraId="5B505C49"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43AEFA7C" w14:textId="77777777" w:rsidTr="00C40D60">
        <w:trPr>
          <w:trHeight w:val="300"/>
        </w:trPr>
        <w:tc>
          <w:tcPr>
            <w:tcW w:w="2180" w:type="dxa"/>
            <w:vMerge/>
            <w:tcBorders>
              <w:top w:val="nil"/>
              <w:left w:val="single" w:sz="4" w:space="0" w:color="auto"/>
              <w:right w:val="single" w:sz="4" w:space="0" w:color="auto"/>
            </w:tcBorders>
            <w:vAlign w:val="center"/>
            <w:hideMark/>
          </w:tcPr>
          <w:p w14:paraId="24E1CE8C"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4" w:space="0" w:color="auto"/>
            </w:tcBorders>
            <w:shd w:val="clear" w:color="auto" w:fill="auto"/>
            <w:vAlign w:val="center"/>
            <w:hideMark/>
          </w:tcPr>
          <w:p w14:paraId="05BD9619" w14:textId="097E090E" w:rsidR="00F214DB" w:rsidRPr="00903BCB" w:rsidRDefault="00F214DB" w:rsidP="005D0306">
            <w:pPr>
              <w:autoSpaceDE/>
              <w:autoSpaceDN/>
              <w:adjustRightInd/>
              <w:ind w:left="0" w:right="0"/>
              <w:jc w:val="left"/>
              <w:rPr>
                <w:rFonts w:eastAsia="Times New Roman"/>
                <w:color w:val="000000"/>
                <w:sz w:val="24"/>
                <w:szCs w:val="24"/>
              </w:rPr>
            </w:pPr>
            <w:r w:rsidRPr="00903BCB">
              <w:rPr>
                <w:rFonts w:eastAsia="Times New Roman"/>
                <w:color w:val="000000"/>
                <w:sz w:val="24"/>
                <w:szCs w:val="24"/>
              </w:rPr>
              <w:t>-     Opening</w:t>
            </w:r>
            <w:r w:rsidR="005D0306" w:rsidRPr="00903BCB">
              <w:rPr>
                <w:rFonts w:eastAsia="Times New Roman"/>
                <w:color w:val="000000"/>
                <w:sz w:val="24"/>
                <w:szCs w:val="24"/>
              </w:rPr>
              <w:t>,</w:t>
            </w:r>
            <w:r w:rsidRPr="00903BCB">
              <w:rPr>
                <w:rFonts w:eastAsia="Times New Roman"/>
                <w:color w:val="000000"/>
                <w:sz w:val="24"/>
                <w:szCs w:val="24"/>
              </w:rPr>
              <w:t xml:space="preserve"> paving and maintaining </w:t>
            </w:r>
            <w:r w:rsidR="005D0306" w:rsidRPr="00903BCB">
              <w:rPr>
                <w:rFonts w:eastAsia="Times New Roman"/>
                <w:color w:val="000000"/>
                <w:sz w:val="24"/>
                <w:szCs w:val="24"/>
              </w:rPr>
              <w:t>roads (main, rural and agricultural)</w:t>
            </w:r>
          </w:p>
        </w:tc>
        <w:tc>
          <w:tcPr>
            <w:tcW w:w="1760" w:type="dxa"/>
            <w:vMerge/>
            <w:tcBorders>
              <w:left w:val="single" w:sz="4" w:space="0" w:color="auto"/>
              <w:right w:val="single" w:sz="4" w:space="0" w:color="auto"/>
            </w:tcBorders>
            <w:vAlign w:val="center"/>
            <w:hideMark/>
          </w:tcPr>
          <w:p w14:paraId="5533EA43"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71BEB953" w14:textId="77777777" w:rsidTr="00C40D60">
        <w:trPr>
          <w:trHeight w:val="300"/>
        </w:trPr>
        <w:tc>
          <w:tcPr>
            <w:tcW w:w="2180" w:type="dxa"/>
            <w:vMerge/>
            <w:tcBorders>
              <w:top w:val="nil"/>
              <w:left w:val="single" w:sz="4" w:space="0" w:color="auto"/>
              <w:right w:val="single" w:sz="4" w:space="0" w:color="auto"/>
            </w:tcBorders>
            <w:vAlign w:val="center"/>
            <w:hideMark/>
          </w:tcPr>
          <w:p w14:paraId="2ACC4156"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4" w:space="0" w:color="auto"/>
            </w:tcBorders>
            <w:shd w:val="clear" w:color="auto" w:fill="auto"/>
            <w:vAlign w:val="center"/>
            <w:hideMark/>
          </w:tcPr>
          <w:p w14:paraId="78F3555C"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Providing drinking water and sewage system.</w:t>
            </w:r>
          </w:p>
        </w:tc>
        <w:tc>
          <w:tcPr>
            <w:tcW w:w="1760" w:type="dxa"/>
            <w:vMerge/>
            <w:tcBorders>
              <w:left w:val="single" w:sz="4" w:space="0" w:color="auto"/>
              <w:right w:val="single" w:sz="4" w:space="0" w:color="auto"/>
            </w:tcBorders>
            <w:vAlign w:val="center"/>
            <w:hideMark/>
          </w:tcPr>
          <w:p w14:paraId="2A1E9173"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56C345B7" w14:textId="77777777" w:rsidTr="00C40D60">
        <w:trPr>
          <w:trHeight w:val="320"/>
        </w:trPr>
        <w:tc>
          <w:tcPr>
            <w:tcW w:w="2180" w:type="dxa"/>
            <w:vMerge/>
            <w:tcBorders>
              <w:top w:val="nil"/>
              <w:left w:val="single" w:sz="4" w:space="0" w:color="auto"/>
              <w:right w:val="single" w:sz="4" w:space="0" w:color="auto"/>
            </w:tcBorders>
            <w:vAlign w:val="center"/>
            <w:hideMark/>
          </w:tcPr>
          <w:p w14:paraId="3CD8891B"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4" w:space="0" w:color="auto"/>
            </w:tcBorders>
            <w:shd w:val="clear" w:color="auto" w:fill="auto"/>
            <w:vAlign w:val="center"/>
            <w:hideMark/>
          </w:tcPr>
          <w:p w14:paraId="5A10B6A3"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Taking the necessary measures to maintain and protect environment.</w:t>
            </w:r>
          </w:p>
        </w:tc>
        <w:tc>
          <w:tcPr>
            <w:tcW w:w="1760" w:type="dxa"/>
            <w:vMerge/>
            <w:tcBorders>
              <w:left w:val="single" w:sz="4" w:space="0" w:color="auto"/>
              <w:right w:val="single" w:sz="4" w:space="0" w:color="auto"/>
            </w:tcBorders>
            <w:vAlign w:val="center"/>
            <w:hideMark/>
          </w:tcPr>
          <w:p w14:paraId="4E3B5F49"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5F50AB2B" w14:textId="77777777" w:rsidTr="00C40D60">
        <w:trPr>
          <w:trHeight w:val="300"/>
        </w:trPr>
        <w:tc>
          <w:tcPr>
            <w:tcW w:w="2180" w:type="dxa"/>
            <w:vMerge/>
            <w:tcBorders>
              <w:top w:val="nil"/>
              <w:left w:val="single" w:sz="4" w:space="0" w:color="auto"/>
              <w:right w:val="single" w:sz="4" w:space="0" w:color="auto"/>
            </w:tcBorders>
            <w:vAlign w:val="center"/>
            <w:hideMark/>
          </w:tcPr>
          <w:p w14:paraId="1C56614A"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4" w:space="0" w:color="auto"/>
            </w:tcBorders>
            <w:shd w:val="clear" w:color="auto" w:fill="auto"/>
            <w:vAlign w:val="center"/>
            <w:hideMark/>
          </w:tcPr>
          <w:p w14:paraId="38DF0543"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Providing health service and social care.</w:t>
            </w:r>
          </w:p>
        </w:tc>
        <w:tc>
          <w:tcPr>
            <w:tcW w:w="1760" w:type="dxa"/>
            <w:vMerge/>
            <w:tcBorders>
              <w:left w:val="single" w:sz="4" w:space="0" w:color="auto"/>
              <w:right w:val="single" w:sz="4" w:space="0" w:color="auto"/>
            </w:tcBorders>
            <w:vAlign w:val="center"/>
            <w:hideMark/>
          </w:tcPr>
          <w:p w14:paraId="5ED9A9B7"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1C1C7BE8" w14:textId="77777777" w:rsidTr="00C40D60">
        <w:trPr>
          <w:trHeight w:val="300"/>
        </w:trPr>
        <w:tc>
          <w:tcPr>
            <w:tcW w:w="2180" w:type="dxa"/>
            <w:vMerge/>
            <w:tcBorders>
              <w:top w:val="nil"/>
              <w:left w:val="single" w:sz="4" w:space="0" w:color="auto"/>
              <w:right w:val="single" w:sz="4" w:space="0" w:color="auto"/>
            </w:tcBorders>
            <w:vAlign w:val="center"/>
            <w:hideMark/>
          </w:tcPr>
          <w:p w14:paraId="34C37AB8"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4" w:space="0" w:color="auto"/>
            </w:tcBorders>
            <w:shd w:val="clear" w:color="auto" w:fill="auto"/>
            <w:vAlign w:val="center"/>
            <w:hideMark/>
          </w:tcPr>
          <w:p w14:paraId="4A47C67A"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Providing electricity, post and communication services.</w:t>
            </w:r>
          </w:p>
        </w:tc>
        <w:tc>
          <w:tcPr>
            <w:tcW w:w="1760" w:type="dxa"/>
            <w:vMerge/>
            <w:tcBorders>
              <w:left w:val="single" w:sz="4" w:space="0" w:color="auto"/>
              <w:right w:val="single" w:sz="4" w:space="0" w:color="auto"/>
            </w:tcBorders>
            <w:vAlign w:val="center"/>
            <w:hideMark/>
          </w:tcPr>
          <w:p w14:paraId="3E9603CC"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3D1BE766" w14:textId="77777777" w:rsidTr="00C40D60">
        <w:trPr>
          <w:trHeight w:val="840"/>
        </w:trPr>
        <w:tc>
          <w:tcPr>
            <w:tcW w:w="2180" w:type="dxa"/>
            <w:vMerge/>
            <w:tcBorders>
              <w:top w:val="nil"/>
              <w:left w:val="single" w:sz="4" w:space="0" w:color="auto"/>
              <w:right w:val="single" w:sz="4" w:space="0" w:color="auto"/>
            </w:tcBorders>
            <w:vAlign w:val="center"/>
            <w:hideMark/>
          </w:tcPr>
          <w:p w14:paraId="0BCA421C"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4" w:space="0" w:color="auto"/>
            </w:tcBorders>
            <w:shd w:val="clear" w:color="auto" w:fill="auto"/>
            <w:vAlign w:val="center"/>
            <w:hideMark/>
          </w:tcPr>
          <w:p w14:paraId="6956E2F1" w14:textId="570EADE2"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Organizing and protecting public utilities, follow</w:t>
            </w:r>
            <w:r w:rsidR="00130F85" w:rsidRPr="00903BCB">
              <w:rPr>
                <w:rFonts w:eastAsia="Times New Roman"/>
                <w:color w:val="000000"/>
                <w:sz w:val="24"/>
                <w:szCs w:val="24"/>
              </w:rPr>
              <w:t>ing</w:t>
            </w:r>
            <w:r w:rsidRPr="00903BCB">
              <w:rPr>
                <w:rFonts w:eastAsia="Times New Roman"/>
                <w:color w:val="000000"/>
                <w:sz w:val="24"/>
                <w:szCs w:val="24"/>
              </w:rPr>
              <w:t xml:space="preserve"> up </w:t>
            </w:r>
            <w:r w:rsidR="00130F85" w:rsidRPr="00903BCB">
              <w:rPr>
                <w:rFonts w:eastAsia="Times New Roman"/>
                <w:color w:val="000000"/>
                <w:sz w:val="24"/>
                <w:szCs w:val="24"/>
              </w:rPr>
              <w:t xml:space="preserve">on </w:t>
            </w:r>
            <w:r w:rsidRPr="00903BCB">
              <w:rPr>
                <w:rFonts w:eastAsia="Times New Roman"/>
                <w:color w:val="000000"/>
                <w:sz w:val="24"/>
                <w:szCs w:val="24"/>
              </w:rPr>
              <w:t>the general needs of education</w:t>
            </w:r>
            <w:r w:rsidR="00130F85" w:rsidRPr="00903BCB">
              <w:rPr>
                <w:rFonts w:eastAsia="Times New Roman"/>
                <w:color w:val="000000"/>
                <w:sz w:val="24"/>
                <w:szCs w:val="24"/>
              </w:rPr>
              <w:t>,</w:t>
            </w:r>
            <w:r w:rsidRPr="00903BCB">
              <w:rPr>
                <w:rFonts w:eastAsia="Times New Roman"/>
                <w:color w:val="000000"/>
                <w:sz w:val="24"/>
                <w:szCs w:val="24"/>
              </w:rPr>
              <w:t xml:space="preserve"> human resources, equipment- establish libraries, public markets, provides civil </w:t>
            </w:r>
            <w:r w:rsidR="002C7E95" w:rsidRPr="00903BCB">
              <w:rPr>
                <w:rFonts w:eastAsia="Times New Roman"/>
                <w:color w:val="000000"/>
                <w:sz w:val="24"/>
                <w:szCs w:val="24"/>
              </w:rPr>
              <w:t>defense</w:t>
            </w:r>
            <w:r w:rsidRPr="00903BCB">
              <w:rPr>
                <w:rFonts w:eastAsia="Times New Roman"/>
                <w:color w:val="000000"/>
                <w:sz w:val="24"/>
                <w:szCs w:val="24"/>
              </w:rPr>
              <w:t xml:space="preserve"> service, protect forests and other functions.</w:t>
            </w:r>
          </w:p>
        </w:tc>
        <w:tc>
          <w:tcPr>
            <w:tcW w:w="1760" w:type="dxa"/>
            <w:vMerge/>
            <w:tcBorders>
              <w:left w:val="single" w:sz="4" w:space="0" w:color="auto"/>
              <w:right w:val="single" w:sz="4" w:space="0" w:color="auto"/>
            </w:tcBorders>
            <w:vAlign w:val="center"/>
            <w:hideMark/>
          </w:tcPr>
          <w:p w14:paraId="454D2F49"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2BD7A620" w14:textId="77777777" w:rsidTr="00C40D60">
        <w:trPr>
          <w:trHeight w:val="840"/>
        </w:trPr>
        <w:tc>
          <w:tcPr>
            <w:tcW w:w="2180" w:type="dxa"/>
            <w:vMerge/>
            <w:tcBorders>
              <w:top w:val="nil"/>
              <w:left w:val="single" w:sz="4" w:space="0" w:color="auto"/>
              <w:right w:val="single" w:sz="4" w:space="0" w:color="auto"/>
            </w:tcBorders>
            <w:vAlign w:val="center"/>
            <w:hideMark/>
          </w:tcPr>
          <w:p w14:paraId="728912C3"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4" w:space="0" w:color="auto"/>
            </w:tcBorders>
            <w:shd w:val="clear" w:color="auto" w:fill="auto"/>
            <w:vAlign w:val="center"/>
            <w:hideMark/>
          </w:tcPr>
          <w:p w14:paraId="0FA1B376" w14:textId="2F7AE93D"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5. The </w:t>
            </w:r>
            <w:r w:rsidR="00130F85" w:rsidRPr="00903BCB">
              <w:rPr>
                <w:rFonts w:eastAsia="Times New Roman"/>
                <w:color w:val="000000"/>
                <w:sz w:val="24"/>
                <w:szCs w:val="24"/>
              </w:rPr>
              <w:t>g</w:t>
            </w:r>
            <w:r w:rsidRPr="00903BCB">
              <w:rPr>
                <w:rFonts w:eastAsia="Times New Roman"/>
                <w:color w:val="000000"/>
                <w:sz w:val="24"/>
                <w:szCs w:val="24"/>
              </w:rPr>
              <w:t xml:space="preserve">overnor is the paymaster from funds allocated to the </w:t>
            </w:r>
            <w:r w:rsidR="00130F85" w:rsidRPr="00903BCB">
              <w:rPr>
                <w:rFonts w:eastAsia="Times New Roman"/>
                <w:color w:val="000000"/>
                <w:sz w:val="24"/>
                <w:szCs w:val="24"/>
              </w:rPr>
              <w:t>g</w:t>
            </w:r>
            <w:r w:rsidRPr="00903BCB">
              <w:rPr>
                <w:rFonts w:eastAsia="Times New Roman"/>
                <w:color w:val="000000"/>
                <w:sz w:val="24"/>
                <w:szCs w:val="24"/>
              </w:rPr>
              <w:t xml:space="preserve">overnorate and which he is authorized in writing to spend from, he follows up the execution of the projects listed in the budget. </w:t>
            </w:r>
          </w:p>
        </w:tc>
        <w:tc>
          <w:tcPr>
            <w:tcW w:w="1760" w:type="dxa"/>
            <w:vMerge/>
            <w:tcBorders>
              <w:left w:val="single" w:sz="4" w:space="0" w:color="auto"/>
              <w:right w:val="single" w:sz="4" w:space="0" w:color="auto"/>
            </w:tcBorders>
            <w:vAlign w:val="center"/>
            <w:hideMark/>
          </w:tcPr>
          <w:p w14:paraId="496E69A4"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0159271A" w14:textId="77777777" w:rsidTr="00C40D60">
        <w:trPr>
          <w:trHeight w:val="580"/>
        </w:trPr>
        <w:tc>
          <w:tcPr>
            <w:tcW w:w="2180" w:type="dxa"/>
            <w:vMerge/>
            <w:tcBorders>
              <w:top w:val="nil"/>
              <w:left w:val="single" w:sz="4" w:space="0" w:color="auto"/>
              <w:bottom w:val="single" w:sz="4" w:space="0" w:color="auto"/>
              <w:right w:val="single" w:sz="4" w:space="0" w:color="auto"/>
            </w:tcBorders>
            <w:vAlign w:val="center"/>
            <w:hideMark/>
          </w:tcPr>
          <w:p w14:paraId="0B0CE289"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single" w:sz="8" w:space="0" w:color="auto"/>
              <w:right w:val="single" w:sz="4" w:space="0" w:color="auto"/>
            </w:tcBorders>
            <w:shd w:val="clear" w:color="auto" w:fill="auto"/>
            <w:vAlign w:val="center"/>
            <w:hideMark/>
          </w:tcPr>
          <w:p w14:paraId="085B4B22" w14:textId="19529883"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6. The </w:t>
            </w:r>
            <w:r w:rsidR="00130F85" w:rsidRPr="00903BCB">
              <w:rPr>
                <w:rFonts w:eastAsia="Times New Roman"/>
                <w:color w:val="000000"/>
                <w:sz w:val="24"/>
                <w:szCs w:val="24"/>
              </w:rPr>
              <w:t>g</w:t>
            </w:r>
            <w:r w:rsidRPr="00903BCB">
              <w:rPr>
                <w:rFonts w:eastAsia="Times New Roman"/>
                <w:color w:val="000000"/>
                <w:sz w:val="24"/>
                <w:szCs w:val="24"/>
              </w:rPr>
              <w:t xml:space="preserve">overnor follows the execution of the decisions of the Executive Council with the competent parties according to the priorities that he decides and available capabilities. </w:t>
            </w:r>
          </w:p>
        </w:tc>
        <w:tc>
          <w:tcPr>
            <w:tcW w:w="1760" w:type="dxa"/>
            <w:vMerge/>
            <w:tcBorders>
              <w:left w:val="single" w:sz="4" w:space="0" w:color="auto"/>
              <w:bottom w:val="single" w:sz="4" w:space="0" w:color="auto"/>
              <w:right w:val="single" w:sz="4" w:space="0" w:color="auto"/>
            </w:tcBorders>
            <w:vAlign w:val="center"/>
            <w:hideMark/>
          </w:tcPr>
          <w:p w14:paraId="315E1505"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498302C2" w14:textId="77777777" w:rsidTr="00C40D60">
        <w:trPr>
          <w:trHeight w:val="1280"/>
        </w:trPr>
        <w:tc>
          <w:tcPr>
            <w:tcW w:w="21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43DD275" w14:textId="77777777" w:rsidR="00F214DB" w:rsidRPr="00903BCB" w:rsidRDefault="00F214DB" w:rsidP="00F214DB">
            <w:pPr>
              <w:autoSpaceDE/>
              <w:autoSpaceDN/>
              <w:adjustRightInd/>
              <w:ind w:left="0" w:right="0"/>
              <w:jc w:val="center"/>
              <w:rPr>
                <w:rFonts w:eastAsia="Times New Roman"/>
                <w:color w:val="000000"/>
                <w:sz w:val="24"/>
                <w:szCs w:val="24"/>
              </w:rPr>
            </w:pPr>
            <w:r w:rsidRPr="00903BCB">
              <w:rPr>
                <w:rFonts w:eastAsia="Times New Roman"/>
                <w:color w:val="000000"/>
                <w:sz w:val="24"/>
                <w:szCs w:val="24"/>
              </w:rPr>
              <w:t>Executive Council</w:t>
            </w:r>
          </w:p>
        </w:tc>
        <w:tc>
          <w:tcPr>
            <w:tcW w:w="8840" w:type="dxa"/>
            <w:tcBorders>
              <w:top w:val="nil"/>
              <w:left w:val="nil"/>
              <w:bottom w:val="nil"/>
              <w:right w:val="single" w:sz="8" w:space="0" w:color="auto"/>
            </w:tcBorders>
            <w:shd w:val="clear" w:color="auto" w:fill="auto"/>
            <w:vAlign w:val="center"/>
            <w:hideMark/>
          </w:tcPr>
          <w:p w14:paraId="62BFAD51" w14:textId="57878F44"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1. To determine the projects that it deems should be executed in the </w:t>
            </w:r>
            <w:r w:rsidR="00130F85" w:rsidRPr="00903BCB">
              <w:rPr>
                <w:rFonts w:eastAsia="Times New Roman"/>
                <w:color w:val="000000"/>
                <w:sz w:val="24"/>
                <w:szCs w:val="24"/>
              </w:rPr>
              <w:t>g</w:t>
            </w:r>
            <w:r w:rsidRPr="00903BCB">
              <w:rPr>
                <w:rFonts w:eastAsia="Times New Roman"/>
                <w:color w:val="000000"/>
                <w:sz w:val="24"/>
                <w:szCs w:val="24"/>
              </w:rPr>
              <w:t xml:space="preserve">overnorate during the financial year, the priorities and cost of these projects. The </w:t>
            </w:r>
            <w:r w:rsidR="00130F85" w:rsidRPr="00903BCB">
              <w:rPr>
                <w:rFonts w:eastAsia="Times New Roman"/>
                <w:color w:val="000000"/>
                <w:sz w:val="24"/>
                <w:szCs w:val="24"/>
              </w:rPr>
              <w:t>g</w:t>
            </w:r>
            <w:r w:rsidRPr="00903BCB">
              <w:rPr>
                <w:rFonts w:eastAsia="Times New Roman"/>
                <w:color w:val="000000"/>
                <w:sz w:val="24"/>
                <w:szCs w:val="24"/>
              </w:rPr>
              <w:t>overnor submits the decisions to the competent departments to include in the general budget.</w:t>
            </w:r>
          </w:p>
        </w:tc>
        <w:tc>
          <w:tcPr>
            <w:tcW w:w="17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E68E76C" w14:textId="77777777" w:rsidR="00F214DB" w:rsidRPr="00903BCB" w:rsidRDefault="00F214DB" w:rsidP="00F214DB">
            <w:pPr>
              <w:autoSpaceDE/>
              <w:autoSpaceDN/>
              <w:adjustRightInd/>
              <w:ind w:left="0" w:right="0"/>
              <w:jc w:val="center"/>
              <w:rPr>
                <w:rFonts w:eastAsia="Times New Roman"/>
                <w:color w:val="000000"/>
                <w:sz w:val="24"/>
                <w:szCs w:val="24"/>
              </w:rPr>
            </w:pPr>
            <w:r w:rsidRPr="00903BCB">
              <w:rPr>
                <w:rFonts w:eastAsia="Times New Roman"/>
                <w:color w:val="000000"/>
                <w:sz w:val="24"/>
                <w:szCs w:val="24"/>
              </w:rPr>
              <w:t>Chaired by the Governor, represents the head</w:t>
            </w:r>
            <w:r w:rsidR="00C40D60" w:rsidRPr="00903BCB">
              <w:rPr>
                <w:rFonts w:eastAsia="Times New Roman"/>
                <w:color w:val="000000"/>
                <w:sz w:val="24"/>
                <w:szCs w:val="24"/>
              </w:rPr>
              <w:t xml:space="preserve"> of line ministries </w:t>
            </w:r>
            <w:r w:rsidRPr="00903BCB">
              <w:rPr>
                <w:rFonts w:eastAsia="Times New Roman"/>
                <w:color w:val="000000"/>
                <w:sz w:val="24"/>
                <w:szCs w:val="24"/>
              </w:rPr>
              <w:t>at the governorate level.</w:t>
            </w:r>
          </w:p>
        </w:tc>
      </w:tr>
      <w:tr w:rsidR="00F214DB" w:rsidRPr="00903BCB" w14:paraId="3EC26BBC" w14:textId="77777777" w:rsidTr="00C40D60">
        <w:trPr>
          <w:trHeight w:val="860"/>
        </w:trPr>
        <w:tc>
          <w:tcPr>
            <w:tcW w:w="2180" w:type="dxa"/>
            <w:vMerge/>
            <w:tcBorders>
              <w:top w:val="single" w:sz="8" w:space="0" w:color="000000"/>
              <w:left w:val="single" w:sz="8" w:space="0" w:color="auto"/>
              <w:bottom w:val="single" w:sz="4" w:space="0" w:color="auto"/>
              <w:right w:val="single" w:sz="8" w:space="0" w:color="auto"/>
            </w:tcBorders>
            <w:vAlign w:val="center"/>
            <w:hideMark/>
          </w:tcPr>
          <w:p w14:paraId="420DB54D"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nil"/>
              <w:bottom w:val="single" w:sz="4" w:space="0" w:color="auto"/>
              <w:right w:val="single" w:sz="8" w:space="0" w:color="auto"/>
            </w:tcBorders>
            <w:shd w:val="clear" w:color="auto" w:fill="auto"/>
            <w:vAlign w:val="center"/>
            <w:hideMark/>
          </w:tcPr>
          <w:p w14:paraId="22F1293C" w14:textId="281FAA23"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2. The Executive Council also reviews the general conditions in the </w:t>
            </w:r>
            <w:r w:rsidR="00130F85" w:rsidRPr="00903BCB">
              <w:rPr>
                <w:rFonts w:eastAsia="Times New Roman"/>
                <w:color w:val="000000"/>
                <w:sz w:val="24"/>
                <w:szCs w:val="24"/>
              </w:rPr>
              <w:t>g</w:t>
            </w:r>
            <w:r w:rsidRPr="00903BCB">
              <w:rPr>
                <w:rFonts w:eastAsia="Times New Roman"/>
                <w:color w:val="000000"/>
                <w:sz w:val="24"/>
                <w:szCs w:val="24"/>
              </w:rPr>
              <w:t xml:space="preserve">overnorate and discusses matter related to public services. The </w:t>
            </w:r>
            <w:r w:rsidR="00130F85" w:rsidRPr="00903BCB">
              <w:rPr>
                <w:rFonts w:eastAsia="Times New Roman"/>
                <w:color w:val="000000"/>
                <w:sz w:val="24"/>
                <w:szCs w:val="24"/>
              </w:rPr>
              <w:t>g</w:t>
            </w:r>
            <w:r w:rsidRPr="00903BCB">
              <w:rPr>
                <w:rFonts w:eastAsia="Times New Roman"/>
                <w:color w:val="000000"/>
                <w:sz w:val="24"/>
                <w:szCs w:val="24"/>
              </w:rPr>
              <w:t xml:space="preserve">overnor follows up the execution of the Executive </w:t>
            </w:r>
            <w:r w:rsidR="00AD2A25" w:rsidRPr="00903BCB">
              <w:rPr>
                <w:rFonts w:eastAsia="Times New Roman"/>
                <w:color w:val="000000"/>
                <w:sz w:val="24"/>
                <w:szCs w:val="24"/>
              </w:rPr>
              <w:t>C</w:t>
            </w:r>
            <w:r w:rsidRPr="00903BCB">
              <w:rPr>
                <w:rFonts w:eastAsia="Times New Roman"/>
                <w:color w:val="000000"/>
                <w:sz w:val="24"/>
                <w:szCs w:val="24"/>
              </w:rPr>
              <w:t xml:space="preserve">ouncil decisions. </w:t>
            </w:r>
          </w:p>
        </w:tc>
        <w:tc>
          <w:tcPr>
            <w:tcW w:w="1760" w:type="dxa"/>
            <w:vMerge/>
            <w:tcBorders>
              <w:top w:val="single" w:sz="8" w:space="0" w:color="000000"/>
              <w:left w:val="single" w:sz="8" w:space="0" w:color="auto"/>
              <w:bottom w:val="single" w:sz="4" w:space="0" w:color="auto"/>
              <w:right w:val="single" w:sz="8" w:space="0" w:color="auto"/>
            </w:tcBorders>
            <w:vAlign w:val="center"/>
            <w:hideMark/>
          </w:tcPr>
          <w:p w14:paraId="18C7A99B" w14:textId="77777777" w:rsidR="00F214DB" w:rsidRPr="00903BCB" w:rsidRDefault="00F214DB" w:rsidP="00F214DB">
            <w:pPr>
              <w:autoSpaceDE/>
              <w:autoSpaceDN/>
              <w:adjustRightInd/>
              <w:ind w:left="0" w:right="0"/>
              <w:jc w:val="left"/>
              <w:rPr>
                <w:rFonts w:eastAsia="Times New Roman"/>
                <w:color w:val="000000"/>
                <w:sz w:val="24"/>
                <w:szCs w:val="24"/>
              </w:rPr>
            </w:pPr>
          </w:p>
        </w:tc>
      </w:tr>
      <w:tr w:rsidR="00F214DB" w:rsidRPr="00903BCB" w14:paraId="4120E9AC" w14:textId="77777777" w:rsidTr="00C40D60">
        <w:trPr>
          <w:trHeight w:val="1400"/>
        </w:trPr>
        <w:tc>
          <w:tcPr>
            <w:tcW w:w="21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3ABEFA0" w14:textId="77777777" w:rsidR="00F214DB" w:rsidRPr="00903BCB" w:rsidRDefault="00F214DB" w:rsidP="00F214DB">
            <w:pPr>
              <w:autoSpaceDE/>
              <w:autoSpaceDN/>
              <w:adjustRightInd/>
              <w:ind w:left="0" w:right="0"/>
              <w:jc w:val="center"/>
              <w:rPr>
                <w:rFonts w:eastAsia="Times New Roman"/>
                <w:color w:val="000000"/>
                <w:sz w:val="24"/>
                <w:szCs w:val="24"/>
              </w:rPr>
            </w:pPr>
            <w:r w:rsidRPr="00903BCB">
              <w:rPr>
                <w:rFonts w:eastAsia="Times New Roman"/>
                <w:color w:val="000000"/>
                <w:sz w:val="24"/>
                <w:szCs w:val="24"/>
              </w:rPr>
              <w:t>Consultative Council</w:t>
            </w:r>
          </w:p>
        </w:tc>
        <w:tc>
          <w:tcPr>
            <w:tcW w:w="8840" w:type="dxa"/>
            <w:tcBorders>
              <w:top w:val="single" w:sz="4" w:space="0" w:color="auto"/>
              <w:left w:val="nil"/>
              <w:bottom w:val="nil"/>
              <w:right w:val="single" w:sz="8" w:space="0" w:color="auto"/>
            </w:tcBorders>
            <w:shd w:val="clear" w:color="auto" w:fill="auto"/>
            <w:vAlign w:val="center"/>
            <w:hideMark/>
          </w:tcPr>
          <w:p w14:paraId="3614AF48" w14:textId="27F1945C"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1. A Consultative Council is formed in each </w:t>
            </w:r>
            <w:r w:rsidR="00130F85" w:rsidRPr="00903BCB">
              <w:rPr>
                <w:rFonts w:eastAsia="Times New Roman"/>
                <w:color w:val="000000"/>
                <w:sz w:val="24"/>
                <w:szCs w:val="24"/>
              </w:rPr>
              <w:t>g</w:t>
            </w:r>
            <w:r w:rsidRPr="00903BCB">
              <w:rPr>
                <w:rFonts w:eastAsia="Times New Roman"/>
                <w:color w:val="000000"/>
                <w:sz w:val="24"/>
                <w:szCs w:val="24"/>
              </w:rPr>
              <w:t xml:space="preserve">overnorate, chaired by the </w:t>
            </w:r>
            <w:r w:rsidR="00130F85" w:rsidRPr="00903BCB">
              <w:rPr>
                <w:rFonts w:eastAsia="Times New Roman"/>
                <w:color w:val="000000"/>
                <w:sz w:val="24"/>
                <w:szCs w:val="24"/>
              </w:rPr>
              <w:t>g</w:t>
            </w:r>
            <w:r w:rsidRPr="00903BCB">
              <w:rPr>
                <w:rFonts w:eastAsia="Times New Roman"/>
                <w:color w:val="000000"/>
                <w:sz w:val="24"/>
                <w:szCs w:val="24"/>
              </w:rPr>
              <w:t>overnor and have a membership of twenty</w:t>
            </w:r>
            <w:r w:rsidR="00AD2A25" w:rsidRPr="00903BCB">
              <w:rPr>
                <w:rFonts w:eastAsia="Times New Roman"/>
                <w:color w:val="000000"/>
                <w:sz w:val="24"/>
                <w:szCs w:val="24"/>
              </w:rPr>
              <w:t>-</w:t>
            </w:r>
            <w:r w:rsidRPr="00903BCB">
              <w:rPr>
                <w:rFonts w:eastAsia="Times New Roman"/>
                <w:color w:val="000000"/>
                <w:sz w:val="24"/>
                <w:szCs w:val="24"/>
              </w:rPr>
              <w:t xml:space="preserve">five persons appointed for a term of three years by the Minister of Interior at the recommendation of the </w:t>
            </w:r>
            <w:r w:rsidR="00130F85" w:rsidRPr="00903BCB">
              <w:rPr>
                <w:rFonts w:eastAsia="Times New Roman"/>
                <w:color w:val="000000"/>
                <w:sz w:val="24"/>
                <w:szCs w:val="24"/>
              </w:rPr>
              <w:t>g</w:t>
            </w:r>
            <w:r w:rsidRPr="00903BCB">
              <w:rPr>
                <w:rFonts w:eastAsia="Times New Roman"/>
                <w:color w:val="000000"/>
                <w:sz w:val="24"/>
                <w:szCs w:val="24"/>
              </w:rPr>
              <w:t xml:space="preserve">overnor. In forming the </w:t>
            </w:r>
            <w:r w:rsidR="00AD2A25" w:rsidRPr="00903BCB">
              <w:rPr>
                <w:rFonts w:eastAsia="Times New Roman"/>
                <w:color w:val="000000"/>
                <w:sz w:val="24"/>
                <w:szCs w:val="24"/>
              </w:rPr>
              <w:t>C</w:t>
            </w:r>
            <w:r w:rsidRPr="00903BCB">
              <w:rPr>
                <w:rFonts w:eastAsia="Times New Roman"/>
                <w:color w:val="000000"/>
                <w:sz w:val="24"/>
                <w:szCs w:val="24"/>
              </w:rPr>
              <w:t>onsultative Council, care is taken to include various parties like municipalities, chambers of commerce and industry, banks, charities cooperatives, farmers, doctors and other professionals.</w:t>
            </w:r>
          </w:p>
        </w:tc>
        <w:tc>
          <w:tcPr>
            <w:tcW w:w="1760" w:type="dxa"/>
            <w:tcBorders>
              <w:top w:val="single" w:sz="4" w:space="0" w:color="auto"/>
              <w:left w:val="nil"/>
              <w:bottom w:val="nil"/>
              <w:right w:val="single" w:sz="8" w:space="0" w:color="auto"/>
            </w:tcBorders>
            <w:shd w:val="clear" w:color="auto" w:fill="auto"/>
            <w:vAlign w:val="center"/>
            <w:hideMark/>
          </w:tcPr>
          <w:p w14:paraId="5295350C"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2BD25796" w14:textId="77777777" w:rsidTr="00480462">
        <w:trPr>
          <w:trHeight w:val="860"/>
        </w:trPr>
        <w:tc>
          <w:tcPr>
            <w:tcW w:w="2180" w:type="dxa"/>
            <w:vMerge/>
            <w:tcBorders>
              <w:top w:val="single" w:sz="8" w:space="0" w:color="000000"/>
              <w:left w:val="single" w:sz="8" w:space="0" w:color="auto"/>
              <w:bottom w:val="single" w:sz="4" w:space="0" w:color="auto"/>
              <w:right w:val="single" w:sz="8" w:space="0" w:color="auto"/>
            </w:tcBorders>
            <w:vAlign w:val="center"/>
            <w:hideMark/>
          </w:tcPr>
          <w:p w14:paraId="26B13CEF"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nil"/>
              <w:bottom w:val="single" w:sz="8" w:space="0" w:color="auto"/>
              <w:right w:val="single" w:sz="8" w:space="0" w:color="auto"/>
            </w:tcBorders>
            <w:shd w:val="clear" w:color="auto" w:fill="auto"/>
            <w:vAlign w:val="center"/>
            <w:hideMark/>
          </w:tcPr>
          <w:p w14:paraId="787B614E" w14:textId="4F7A7A9F"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2. The Consultative </w:t>
            </w:r>
            <w:r w:rsidR="00AD2A25" w:rsidRPr="00903BCB">
              <w:rPr>
                <w:rFonts w:eastAsia="Times New Roman"/>
                <w:color w:val="000000"/>
                <w:sz w:val="24"/>
                <w:szCs w:val="24"/>
              </w:rPr>
              <w:t>C</w:t>
            </w:r>
            <w:r w:rsidRPr="00903BCB">
              <w:rPr>
                <w:rFonts w:eastAsia="Times New Roman"/>
                <w:color w:val="000000"/>
                <w:sz w:val="24"/>
                <w:szCs w:val="24"/>
              </w:rPr>
              <w:t xml:space="preserve">ouncil has the task of studying the affairs of the </w:t>
            </w:r>
            <w:r w:rsidR="00130F85" w:rsidRPr="00903BCB">
              <w:rPr>
                <w:rFonts w:eastAsia="Times New Roman"/>
                <w:color w:val="000000"/>
                <w:sz w:val="24"/>
                <w:szCs w:val="24"/>
              </w:rPr>
              <w:t>g</w:t>
            </w:r>
            <w:r w:rsidRPr="00903BCB">
              <w:rPr>
                <w:rFonts w:eastAsia="Times New Roman"/>
                <w:color w:val="000000"/>
                <w:sz w:val="24"/>
                <w:szCs w:val="24"/>
              </w:rPr>
              <w:t xml:space="preserve">overnorate and issue the relevant recommendations, including giving an opinion on the </w:t>
            </w:r>
            <w:r w:rsidR="00130F85" w:rsidRPr="00903BCB">
              <w:rPr>
                <w:rFonts w:eastAsia="Times New Roman"/>
                <w:color w:val="000000"/>
                <w:sz w:val="24"/>
                <w:szCs w:val="24"/>
              </w:rPr>
              <w:t>g</w:t>
            </w:r>
            <w:r w:rsidRPr="00903BCB">
              <w:rPr>
                <w:rFonts w:eastAsia="Times New Roman"/>
                <w:color w:val="000000"/>
                <w:sz w:val="24"/>
                <w:szCs w:val="24"/>
              </w:rPr>
              <w:t>overnorate annual budget before being ratified by the Executive Council.</w:t>
            </w:r>
          </w:p>
        </w:tc>
        <w:tc>
          <w:tcPr>
            <w:tcW w:w="1760" w:type="dxa"/>
            <w:tcBorders>
              <w:top w:val="nil"/>
              <w:left w:val="nil"/>
              <w:bottom w:val="single" w:sz="8" w:space="0" w:color="auto"/>
              <w:right w:val="single" w:sz="8" w:space="0" w:color="auto"/>
            </w:tcBorders>
            <w:shd w:val="clear" w:color="auto" w:fill="auto"/>
            <w:vAlign w:val="center"/>
            <w:hideMark/>
          </w:tcPr>
          <w:p w14:paraId="3050EE4A"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59CB1253" w14:textId="77777777" w:rsidTr="00480462">
        <w:trPr>
          <w:trHeight w:val="140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6F301" w14:textId="41B791E6"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 Municipal Council</w:t>
            </w:r>
          </w:p>
          <w:p w14:paraId="51553B37" w14:textId="77777777" w:rsidR="00480462" w:rsidRPr="00903BCB" w:rsidRDefault="00480462" w:rsidP="00F214DB">
            <w:pPr>
              <w:autoSpaceDE/>
              <w:autoSpaceDN/>
              <w:adjustRightInd/>
              <w:ind w:left="0" w:right="0"/>
              <w:jc w:val="left"/>
              <w:rPr>
                <w:rFonts w:eastAsia="Times New Roman"/>
                <w:color w:val="000000"/>
                <w:sz w:val="24"/>
                <w:szCs w:val="24"/>
              </w:rPr>
            </w:pPr>
          </w:p>
          <w:p w14:paraId="4DCD7C41" w14:textId="77777777" w:rsidR="00480462" w:rsidRPr="00903BCB" w:rsidRDefault="00480462" w:rsidP="00F214DB">
            <w:pPr>
              <w:autoSpaceDE/>
              <w:autoSpaceDN/>
              <w:adjustRightInd/>
              <w:ind w:left="0" w:right="0"/>
              <w:jc w:val="left"/>
              <w:rPr>
                <w:rFonts w:eastAsia="Times New Roman"/>
                <w:color w:val="000000"/>
                <w:sz w:val="24"/>
                <w:szCs w:val="24"/>
              </w:rPr>
            </w:pPr>
          </w:p>
          <w:p w14:paraId="5F24AA32" w14:textId="77777777" w:rsidR="00480462" w:rsidRPr="00903BCB" w:rsidRDefault="00480462" w:rsidP="00F214DB">
            <w:pPr>
              <w:autoSpaceDE/>
              <w:autoSpaceDN/>
              <w:adjustRightInd/>
              <w:ind w:left="0" w:right="0"/>
              <w:jc w:val="left"/>
              <w:rPr>
                <w:rFonts w:eastAsia="Times New Roman"/>
                <w:color w:val="000000"/>
                <w:sz w:val="24"/>
                <w:szCs w:val="24"/>
              </w:rPr>
            </w:pPr>
          </w:p>
          <w:p w14:paraId="1CA21F2D" w14:textId="77777777" w:rsidR="00480462" w:rsidRPr="00903BCB" w:rsidRDefault="00480462" w:rsidP="00F214DB">
            <w:pPr>
              <w:autoSpaceDE/>
              <w:autoSpaceDN/>
              <w:adjustRightInd/>
              <w:ind w:left="0" w:right="0"/>
              <w:jc w:val="left"/>
              <w:rPr>
                <w:rFonts w:eastAsia="Times New Roman"/>
                <w:color w:val="000000"/>
                <w:sz w:val="24"/>
                <w:szCs w:val="24"/>
              </w:rPr>
            </w:pPr>
          </w:p>
          <w:p w14:paraId="1292C11D" w14:textId="77777777" w:rsidR="00480462" w:rsidRPr="00903BCB" w:rsidRDefault="00480462" w:rsidP="00F214DB">
            <w:pPr>
              <w:autoSpaceDE/>
              <w:autoSpaceDN/>
              <w:adjustRightInd/>
              <w:ind w:left="0" w:right="0"/>
              <w:jc w:val="left"/>
              <w:rPr>
                <w:rFonts w:eastAsia="Times New Roman"/>
                <w:color w:val="000000"/>
                <w:sz w:val="24"/>
                <w:szCs w:val="24"/>
              </w:rPr>
            </w:pPr>
          </w:p>
          <w:p w14:paraId="23073F1E" w14:textId="77777777" w:rsidR="00480462" w:rsidRPr="00903BCB" w:rsidRDefault="00480462" w:rsidP="00F214DB">
            <w:pPr>
              <w:autoSpaceDE/>
              <w:autoSpaceDN/>
              <w:adjustRightInd/>
              <w:ind w:left="0" w:right="0"/>
              <w:jc w:val="left"/>
              <w:rPr>
                <w:rFonts w:eastAsia="Times New Roman"/>
                <w:color w:val="000000"/>
                <w:sz w:val="24"/>
                <w:szCs w:val="24"/>
              </w:rPr>
            </w:pPr>
          </w:p>
          <w:p w14:paraId="680D239C" w14:textId="77777777" w:rsidR="00480462" w:rsidRPr="00903BCB" w:rsidRDefault="00480462" w:rsidP="00F214DB">
            <w:pPr>
              <w:autoSpaceDE/>
              <w:autoSpaceDN/>
              <w:adjustRightInd/>
              <w:ind w:left="0" w:right="0"/>
              <w:jc w:val="left"/>
              <w:rPr>
                <w:rFonts w:eastAsia="Times New Roman"/>
                <w:color w:val="000000"/>
                <w:sz w:val="24"/>
                <w:szCs w:val="24"/>
              </w:rPr>
            </w:pPr>
          </w:p>
          <w:p w14:paraId="5B1BFCF9" w14:textId="77777777" w:rsidR="00480462" w:rsidRPr="00903BCB" w:rsidRDefault="00480462" w:rsidP="00F214DB">
            <w:pPr>
              <w:autoSpaceDE/>
              <w:autoSpaceDN/>
              <w:adjustRightInd/>
              <w:ind w:left="0" w:right="0"/>
              <w:jc w:val="left"/>
              <w:rPr>
                <w:rFonts w:eastAsia="Times New Roman"/>
                <w:color w:val="000000"/>
                <w:sz w:val="24"/>
                <w:szCs w:val="24"/>
              </w:rPr>
            </w:pPr>
          </w:p>
          <w:p w14:paraId="5BC4CC79" w14:textId="77777777" w:rsidR="00480462" w:rsidRPr="00903BCB" w:rsidRDefault="00480462" w:rsidP="00F214DB">
            <w:pPr>
              <w:autoSpaceDE/>
              <w:autoSpaceDN/>
              <w:adjustRightInd/>
              <w:ind w:left="0" w:right="0"/>
              <w:jc w:val="left"/>
              <w:rPr>
                <w:rFonts w:eastAsia="Times New Roman"/>
                <w:color w:val="000000"/>
                <w:sz w:val="24"/>
                <w:szCs w:val="24"/>
              </w:rPr>
            </w:pPr>
          </w:p>
          <w:p w14:paraId="27E52D01" w14:textId="77777777" w:rsidR="00480462" w:rsidRPr="00903BCB" w:rsidRDefault="00480462" w:rsidP="00F214DB">
            <w:pPr>
              <w:autoSpaceDE/>
              <w:autoSpaceDN/>
              <w:adjustRightInd/>
              <w:ind w:left="0" w:right="0"/>
              <w:jc w:val="left"/>
              <w:rPr>
                <w:rFonts w:eastAsia="Times New Roman"/>
                <w:color w:val="000000"/>
                <w:sz w:val="24"/>
                <w:szCs w:val="24"/>
              </w:rPr>
            </w:pPr>
          </w:p>
          <w:p w14:paraId="1DFC3A2F" w14:textId="77777777" w:rsidR="00480462" w:rsidRPr="00903BCB" w:rsidRDefault="00480462" w:rsidP="00F214DB">
            <w:pPr>
              <w:autoSpaceDE/>
              <w:autoSpaceDN/>
              <w:adjustRightInd/>
              <w:ind w:left="0" w:right="0"/>
              <w:jc w:val="left"/>
              <w:rPr>
                <w:rFonts w:eastAsia="Times New Roman"/>
                <w:color w:val="000000"/>
                <w:sz w:val="24"/>
                <w:szCs w:val="24"/>
              </w:rPr>
            </w:pPr>
          </w:p>
          <w:p w14:paraId="7050E71A" w14:textId="77777777" w:rsidR="00480462" w:rsidRPr="00903BCB" w:rsidRDefault="00480462" w:rsidP="00F214DB">
            <w:pPr>
              <w:autoSpaceDE/>
              <w:autoSpaceDN/>
              <w:adjustRightInd/>
              <w:ind w:left="0" w:right="0"/>
              <w:jc w:val="left"/>
              <w:rPr>
                <w:rFonts w:eastAsia="Times New Roman"/>
                <w:color w:val="000000"/>
                <w:sz w:val="24"/>
                <w:szCs w:val="24"/>
              </w:rPr>
            </w:pPr>
          </w:p>
          <w:p w14:paraId="6ABEBBF7" w14:textId="77777777" w:rsidR="00480462" w:rsidRPr="00903BCB" w:rsidRDefault="00480462" w:rsidP="00F214DB">
            <w:pPr>
              <w:autoSpaceDE/>
              <w:autoSpaceDN/>
              <w:adjustRightInd/>
              <w:ind w:left="0" w:right="0"/>
              <w:jc w:val="left"/>
              <w:rPr>
                <w:rFonts w:eastAsia="Times New Roman"/>
                <w:color w:val="000000"/>
                <w:sz w:val="24"/>
                <w:szCs w:val="24"/>
              </w:rPr>
            </w:pPr>
          </w:p>
          <w:p w14:paraId="323DE5BF" w14:textId="77777777" w:rsidR="00480462" w:rsidRPr="00903BCB" w:rsidRDefault="00480462" w:rsidP="00F214DB">
            <w:pPr>
              <w:autoSpaceDE/>
              <w:autoSpaceDN/>
              <w:adjustRightInd/>
              <w:ind w:left="0" w:right="0"/>
              <w:jc w:val="left"/>
              <w:rPr>
                <w:rFonts w:eastAsia="Times New Roman"/>
                <w:color w:val="000000"/>
                <w:sz w:val="24"/>
                <w:szCs w:val="24"/>
              </w:rPr>
            </w:pPr>
          </w:p>
          <w:p w14:paraId="0BA3A343" w14:textId="77777777" w:rsidR="00480462" w:rsidRPr="00903BCB" w:rsidRDefault="00480462" w:rsidP="00F214DB">
            <w:pPr>
              <w:autoSpaceDE/>
              <w:autoSpaceDN/>
              <w:adjustRightInd/>
              <w:ind w:left="0" w:right="0"/>
              <w:jc w:val="left"/>
              <w:rPr>
                <w:rFonts w:eastAsia="Times New Roman"/>
                <w:color w:val="000000"/>
                <w:sz w:val="24"/>
                <w:szCs w:val="24"/>
              </w:rPr>
            </w:pPr>
          </w:p>
          <w:p w14:paraId="1FBAF0C6" w14:textId="77777777" w:rsidR="00480462" w:rsidRPr="00903BCB" w:rsidRDefault="00480462" w:rsidP="00F214DB">
            <w:pPr>
              <w:autoSpaceDE/>
              <w:autoSpaceDN/>
              <w:adjustRightInd/>
              <w:ind w:left="0" w:right="0"/>
              <w:jc w:val="left"/>
              <w:rPr>
                <w:rFonts w:eastAsia="Times New Roman"/>
                <w:color w:val="000000"/>
                <w:sz w:val="24"/>
                <w:szCs w:val="24"/>
              </w:rPr>
            </w:pPr>
          </w:p>
          <w:p w14:paraId="61B38E94" w14:textId="77777777" w:rsidR="00480462" w:rsidRPr="00903BCB" w:rsidRDefault="00480462" w:rsidP="00F214DB">
            <w:pPr>
              <w:autoSpaceDE/>
              <w:autoSpaceDN/>
              <w:adjustRightInd/>
              <w:ind w:left="0" w:right="0"/>
              <w:jc w:val="left"/>
              <w:rPr>
                <w:rFonts w:eastAsia="Times New Roman"/>
                <w:color w:val="000000"/>
                <w:sz w:val="24"/>
                <w:szCs w:val="24"/>
              </w:rPr>
            </w:pPr>
          </w:p>
          <w:p w14:paraId="4071BBE0" w14:textId="77777777" w:rsidR="00480462" w:rsidRPr="00903BCB" w:rsidRDefault="00480462" w:rsidP="00F214DB">
            <w:pPr>
              <w:autoSpaceDE/>
              <w:autoSpaceDN/>
              <w:adjustRightInd/>
              <w:ind w:left="0" w:right="0"/>
              <w:jc w:val="left"/>
              <w:rPr>
                <w:rFonts w:eastAsia="Times New Roman"/>
                <w:color w:val="000000"/>
                <w:sz w:val="24"/>
                <w:szCs w:val="24"/>
              </w:rPr>
            </w:pPr>
          </w:p>
          <w:p w14:paraId="664160BB" w14:textId="77777777" w:rsidR="00480462" w:rsidRPr="00903BCB" w:rsidRDefault="00480462" w:rsidP="00F214DB">
            <w:pPr>
              <w:autoSpaceDE/>
              <w:autoSpaceDN/>
              <w:adjustRightInd/>
              <w:ind w:left="0" w:right="0"/>
              <w:jc w:val="left"/>
              <w:rPr>
                <w:rFonts w:eastAsia="Times New Roman"/>
                <w:color w:val="000000"/>
                <w:sz w:val="24"/>
                <w:szCs w:val="24"/>
              </w:rPr>
            </w:pPr>
          </w:p>
          <w:p w14:paraId="7528D666" w14:textId="77777777" w:rsidR="00480462" w:rsidRPr="00903BCB" w:rsidRDefault="00480462" w:rsidP="00F214DB">
            <w:pPr>
              <w:autoSpaceDE/>
              <w:autoSpaceDN/>
              <w:adjustRightInd/>
              <w:ind w:left="0" w:right="0"/>
              <w:jc w:val="left"/>
              <w:rPr>
                <w:rFonts w:eastAsia="Times New Roman"/>
                <w:color w:val="000000"/>
                <w:sz w:val="24"/>
                <w:szCs w:val="24"/>
              </w:rPr>
            </w:pPr>
          </w:p>
          <w:p w14:paraId="3AB5F98C" w14:textId="77777777" w:rsidR="00480462" w:rsidRPr="00903BCB" w:rsidRDefault="00480462" w:rsidP="00F214DB">
            <w:pPr>
              <w:autoSpaceDE/>
              <w:autoSpaceDN/>
              <w:adjustRightInd/>
              <w:ind w:left="0" w:right="0"/>
              <w:jc w:val="left"/>
              <w:rPr>
                <w:rFonts w:eastAsia="Times New Roman"/>
                <w:color w:val="000000"/>
                <w:sz w:val="24"/>
                <w:szCs w:val="24"/>
              </w:rPr>
            </w:pPr>
          </w:p>
          <w:p w14:paraId="72333850" w14:textId="77777777" w:rsidR="00480462" w:rsidRPr="00903BCB" w:rsidRDefault="00480462" w:rsidP="00F214DB">
            <w:pPr>
              <w:autoSpaceDE/>
              <w:autoSpaceDN/>
              <w:adjustRightInd/>
              <w:ind w:left="0" w:right="0"/>
              <w:jc w:val="left"/>
              <w:rPr>
                <w:rFonts w:eastAsia="Times New Roman"/>
                <w:color w:val="000000"/>
                <w:sz w:val="24"/>
                <w:szCs w:val="24"/>
              </w:rPr>
            </w:pPr>
          </w:p>
          <w:p w14:paraId="320447B4" w14:textId="77777777" w:rsidR="00480462" w:rsidRPr="00903BCB" w:rsidRDefault="00480462" w:rsidP="00F214DB">
            <w:pPr>
              <w:autoSpaceDE/>
              <w:autoSpaceDN/>
              <w:adjustRightInd/>
              <w:ind w:left="0" w:right="0"/>
              <w:jc w:val="left"/>
              <w:rPr>
                <w:rFonts w:eastAsia="Times New Roman"/>
                <w:color w:val="000000"/>
                <w:sz w:val="24"/>
                <w:szCs w:val="24"/>
              </w:rPr>
            </w:pPr>
          </w:p>
          <w:p w14:paraId="693F9AEE" w14:textId="77777777" w:rsidR="00480462" w:rsidRPr="00903BCB" w:rsidRDefault="00480462" w:rsidP="00F214DB">
            <w:pPr>
              <w:autoSpaceDE/>
              <w:autoSpaceDN/>
              <w:adjustRightInd/>
              <w:ind w:left="0" w:right="0"/>
              <w:jc w:val="left"/>
              <w:rPr>
                <w:rFonts w:eastAsia="Times New Roman"/>
                <w:color w:val="000000"/>
                <w:sz w:val="24"/>
                <w:szCs w:val="24"/>
              </w:rPr>
            </w:pPr>
          </w:p>
          <w:p w14:paraId="482794CC" w14:textId="77777777" w:rsidR="00480462" w:rsidRPr="00903BCB" w:rsidRDefault="00480462" w:rsidP="00F214DB">
            <w:pPr>
              <w:autoSpaceDE/>
              <w:autoSpaceDN/>
              <w:adjustRightInd/>
              <w:ind w:left="0" w:right="0"/>
              <w:jc w:val="left"/>
              <w:rPr>
                <w:rFonts w:eastAsia="Times New Roman"/>
                <w:color w:val="000000"/>
                <w:sz w:val="24"/>
                <w:szCs w:val="24"/>
              </w:rPr>
            </w:pPr>
          </w:p>
          <w:p w14:paraId="31842503" w14:textId="77777777" w:rsidR="00480462" w:rsidRPr="00903BCB" w:rsidRDefault="00480462" w:rsidP="00F214DB">
            <w:pPr>
              <w:autoSpaceDE/>
              <w:autoSpaceDN/>
              <w:adjustRightInd/>
              <w:ind w:left="0" w:right="0"/>
              <w:jc w:val="left"/>
              <w:rPr>
                <w:rFonts w:eastAsia="Times New Roman"/>
                <w:color w:val="000000"/>
                <w:sz w:val="24"/>
                <w:szCs w:val="24"/>
              </w:rPr>
            </w:pPr>
          </w:p>
          <w:p w14:paraId="358CA1D5" w14:textId="77777777" w:rsidR="00480462" w:rsidRPr="00903BCB" w:rsidRDefault="00480462" w:rsidP="00F214DB">
            <w:pPr>
              <w:autoSpaceDE/>
              <w:autoSpaceDN/>
              <w:adjustRightInd/>
              <w:ind w:left="0" w:right="0"/>
              <w:jc w:val="left"/>
              <w:rPr>
                <w:rFonts w:eastAsia="Times New Roman"/>
                <w:color w:val="000000"/>
                <w:sz w:val="24"/>
                <w:szCs w:val="24"/>
              </w:rPr>
            </w:pPr>
          </w:p>
          <w:p w14:paraId="6F2935A1" w14:textId="77777777" w:rsidR="00480462" w:rsidRPr="00903BCB" w:rsidRDefault="00480462" w:rsidP="00F214DB">
            <w:pPr>
              <w:autoSpaceDE/>
              <w:autoSpaceDN/>
              <w:adjustRightInd/>
              <w:ind w:left="0" w:right="0"/>
              <w:jc w:val="left"/>
              <w:rPr>
                <w:rFonts w:eastAsia="Times New Roman"/>
                <w:color w:val="000000"/>
                <w:sz w:val="24"/>
                <w:szCs w:val="24"/>
              </w:rPr>
            </w:pPr>
          </w:p>
          <w:p w14:paraId="1AFB45BF" w14:textId="77777777" w:rsidR="00480462" w:rsidRPr="00903BCB" w:rsidRDefault="00480462" w:rsidP="00F214DB">
            <w:pPr>
              <w:autoSpaceDE/>
              <w:autoSpaceDN/>
              <w:adjustRightInd/>
              <w:ind w:left="0" w:right="0"/>
              <w:jc w:val="left"/>
              <w:rPr>
                <w:rFonts w:eastAsia="Times New Roman"/>
                <w:color w:val="000000"/>
                <w:sz w:val="24"/>
                <w:szCs w:val="24"/>
              </w:rPr>
            </w:pPr>
          </w:p>
          <w:p w14:paraId="34AF655D" w14:textId="77777777" w:rsidR="00480462" w:rsidRPr="00903BCB" w:rsidRDefault="00480462" w:rsidP="00F214DB">
            <w:pPr>
              <w:autoSpaceDE/>
              <w:autoSpaceDN/>
              <w:adjustRightInd/>
              <w:ind w:left="0" w:right="0"/>
              <w:jc w:val="left"/>
              <w:rPr>
                <w:rFonts w:eastAsia="Times New Roman"/>
                <w:color w:val="000000"/>
                <w:sz w:val="24"/>
                <w:szCs w:val="24"/>
              </w:rPr>
            </w:pPr>
          </w:p>
          <w:p w14:paraId="47D0645F" w14:textId="77777777" w:rsidR="00480462" w:rsidRPr="00903BCB" w:rsidRDefault="00480462" w:rsidP="00F214DB">
            <w:pPr>
              <w:autoSpaceDE/>
              <w:autoSpaceDN/>
              <w:adjustRightInd/>
              <w:ind w:left="0" w:right="0"/>
              <w:jc w:val="left"/>
              <w:rPr>
                <w:rFonts w:eastAsia="Times New Roman"/>
                <w:color w:val="000000"/>
                <w:sz w:val="24"/>
                <w:szCs w:val="24"/>
              </w:rPr>
            </w:pPr>
          </w:p>
          <w:p w14:paraId="20A76435" w14:textId="77777777" w:rsidR="00480462" w:rsidRPr="00903BCB" w:rsidRDefault="00480462" w:rsidP="00F214DB">
            <w:pPr>
              <w:autoSpaceDE/>
              <w:autoSpaceDN/>
              <w:adjustRightInd/>
              <w:ind w:left="0" w:right="0"/>
              <w:jc w:val="left"/>
              <w:rPr>
                <w:rFonts w:eastAsia="Times New Roman"/>
                <w:color w:val="000000"/>
                <w:sz w:val="24"/>
                <w:szCs w:val="24"/>
              </w:rPr>
            </w:pPr>
          </w:p>
          <w:p w14:paraId="50BC1AF9" w14:textId="77777777" w:rsidR="00480462" w:rsidRPr="00903BCB" w:rsidRDefault="00480462" w:rsidP="00F214DB">
            <w:pPr>
              <w:autoSpaceDE/>
              <w:autoSpaceDN/>
              <w:adjustRightInd/>
              <w:ind w:left="0" w:right="0"/>
              <w:jc w:val="left"/>
              <w:rPr>
                <w:rFonts w:eastAsia="Times New Roman"/>
                <w:color w:val="000000"/>
                <w:sz w:val="24"/>
                <w:szCs w:val="24"/>
              </w:rPr>
            </w:pPr>
          </w:p>
          <w:p w14:paraId="5B639481" w14:textId="77777777" w:rsidR="00480462" w:rsidRPr="00903BCB" w:rsidRDefault="00480462" w:rsidP="00F214DB">
            <w:pPr>
              <w:autoSpaceDE/>
              <w:autoSpaceDN/>
              <w:adjustRightInd/>
              <w:ind w:left="0" w:right="0"/>
              <w:jc w:val="left"/>
              <w:rPr>
                <w:rFonts w:eastAsia="Times New Roman"/>
                <w:color w:val="000000"/>
                <w:sz w:val="24"/>
                <w:szCs w:val="24"/>
              </w:rPr>
            </w:pPr>
          </w:p>
          <w:p w14:paraId="1644EEBC" w14:textId="77777777" w:rsidR="00480462" w:rsidRPr="00903BCB" w:rsidRDefault="00480462" w:rsidP="00F214DB">
            <w:pPr>
              <w:autoSpaceDE/>
              <w:autoSpaceDN/>
              <w:adjustRightInd/>
              <w:ind w:left="0" w:right="0"/>
              <w:jc w:val="left"/>
              <w:rPr>
                <w:rFonts w:eastAsia="Times New Roman"/>
                <w:color w:val="000000"/>
                <w:sz w:val="24"/>
                <w:szCs w:val="24"/>
              </w:rPr>
            </w:pPr>
          </w:p>
          <w:p w14:paraId="6D875BEA" w14:textId="77777777" w:rsidR="00480462" w:rsidRPr="00903BCB" w:rsidRDefault="00480462" w:rsidP="00F214DB">
            <w:pPr>
              <w:autoSpaceDE/>
              <w:autoSpaceDN/>
              <w:adjustRightInd/>
              <w:ind w:left="0" w:right="0"/>
              <w:jc w:val="left"/>
              <w:rPr>
                <w:rFonts w:eastAsia="Times New Roman"/>
                <w:color w:val="000000"/>
                <w:sz w:val="24"/>
                <w:szCs w:val="24"/>
              </w:rPr>
            </w:pPr>
          </w:p>
          <w:p w14:paraId="7CDE13FE" w14:textId="77777777" w:rsidR="00480462" w:rsidRPr="00903BCB" w:rsidRDefault="00480462" w:rsidP="00F214DB">
            <w:pPr>
              <w:autoSpaceDE/>
              <w:autoSpaceDN/>
              <w:adjustRightInd/>
              <w:ind w:left="0" w:right="0"/>
              <w:jc w:val="left"/>
              <w:rPr>
                <w:rFonts w:eastAsia="Times New Roman"/>
                <w:color w:val="000000"/>
                <w:sz w:val="24"/>
                <w:szCs w:val="24"/>
              </w:rPr>
            </w:pPr>
          </w:p>
          <w:p w14:paraId="6EB1FE5E" w14:textId="77777777" w:rsidR="00480462" w:rsidRPr="00903BCB" w:rsidRDefault="00480462" w:rsidP="00F214DB">
            <w:pPr>
              <w:autoSpaceDE/>
              <w:autoSpaceDN/>
              <w:adjustRightInd/>
              <w:ind w:left="0" w:right="0"/>
              <w:jc w:val="left"/>
              <w:rPr>
                <w:rFonts w:eastAsia="Times New Roman"/>
                <w:color w:val="000000"/>
                <w:sz w:val="24"/>
                <w:szCs w:val="24"/>
              </w:rPr>
            </w:pPr>
          </w:p>
          <w:p w14:paraId="3D78492B" w14:textId="77777777" w:rsidR="00480462" w:rsidRPr="00903BCB" w:rsidRDefault="00480462" w:rsidP="00F214DB">
            <w:pPr>
              <w:autoSpaceDE/>
              <w:autoSpaceDN/>
              <w:adjustRightInd/>
              <w:ind w:left="0" w:right="0"/>
              <w:jc w:val="left"/>
              <w:rPr>
                <w:rFonts w:eastAsia="Times New Roman"/>
                <w:color w:val="000000"/>
                <w:sz w:val="24"/>
                <w:szCs w:val="24"/>
              </w:rPr>
            </w:pPr>
          </w:p>
          <w:p w14:paraId="4A9BDB8D" w14:textId="77777777" w:rsidR="00480462" w:rsidRPr="00903BCB" w:rsidRDefault="00480462" w:rsidP="00F214DB">
            <w:pPr>
              <w:autoSpaceDE/>
              <w:autoSpaceDN/>
              <w:adjustRightInd/>
              <w:ind w:left="0" w:right="0"/>
              <w:jc w:val="left"/>
              <w:rPr>
                <w:rFonts w:eastAsia="Times New Roman"/>
                <w:color w:val="000000"/>
                <w:sz w:val="24"/>
                <w:szCs w:val="24"/>
              </w:rPr>
            </w:pPr>
          </w:p>
          <w:p w14:paraId="58427D66" w14:textId="77777777" w:rsidR="00480462" w:rsidRPr="00903BCB" w:rsidRDefault="00480462" w:rsidP="00F214DB">
            <w:pPr>
              <w:autoSpaceDE/>
              <w:autoSpaceDN/>
              <w:adjustRightInd/>
              <w:ind w:left="0" w:right="0"/>
              <w:jc w:val="left"/>
              <w:rPr>
                <w:rFonts w:eastAsia="Times New Roman"/>
                <w:color w:val="000000"/>
                <w:sz w:val="24"/>
                <w:szCs w:val="24"/>
              </w:rPr>
            </w:pPr>
          </w:p>
          <w:p w14:paraId="09D18F58" w14:textId="77777777" w:rsidR="00480462" w:rsidRPr="00903BCB" w:rsidRDefault="00480462" w:rsidP="00F214DB">
            <w:pPr>
              <w:autoSpaceDE/>
              <w:autoSpaceDN/>
              <w:adjustRightInd/>
              <w:ind w:left="0" w:right="0"/>
              <w:jc w:val="left"/>
              <w:rPr>
                <w:rFonts w:eastAsia="Times New Roman"/>
                <w:color w:val="000000"/>
                <w:sz w:val="24"/>
                <w:szCs w:val="24"/>
              </w:rPr>
            </w:pPr>
          </w:p>
          <w:p w14:paraId="4774DBEA" w14:textId="77777777" w:rsidR="00480462" w:rsidRPr="00903BCB" w:rsidRDefault="00480462" w:rsidP="00F214DB">
            <w:pPr>
              <w:autoSpaceDE/>
              <w:autoSpaceDN/>
              <w:adjustRightInd/>
              <w:ind w:left="0" w:right="0"/>
              <w:jc w:val="left"/>
              <w:rPr>
                <w:rFonts w:eastAsia="Times New Roman"/>
                <w:color w:val="000000"/>
                <w:sz w:val="24"/>
                <w:szCs w:val="24"/>
              </w:rPr>
            </w:pPr>
          </w:p>
          <w:p w14:paraId="69257BA5" w14:textId="77777777" w:rsidR="00D1675A" w:rsidRPr="00903BCB" w:rsidRDefault="00D1675A" w:rsidP="00F214DB">
            <w:pPr>
              <w:autoSpaceDE/>
              <w:autoSpaceDN/>
              <w:adjustRightInd/>
              <w:ind w:left="0" w:right="0"/>
              <w:jc w:val="left"/>
              <w:rPr>
                <w:rFonts w:eastAsia="Times New Roman"/>
                <w:color w:val="000000"/>
                <w:sz w:val="24"/>
                <w:szCs w:val="24"/>
              </w:rPr>
            </w:pPr>
          </w:p>
          <w:p w14:paraId="5E054866" w14:textId="77777777" w:rsidR="00D1675A" w:rsidRPr="00903BCB" w:rsidRDefault="00D1675A" w:rsidP="00F214DB">
            <w:pPr>
              <w:autoSpaceDE/>
              <w:autoSpaceDN/>
              <w:adjustRightInd/>
              <w:ind w:left="0" w:right="0"/>
              <w:jc w:val="left"/>
              <w:rPr>
                <w:rFonts w:eastAsia="Times New Roman"/>
                <w:color w:val="000000"/>
                <w:sz w:val="24"/>
                <w:szCs w:val="24"/>
              </w:rPr>
            </w:pPr>
          </w:p>
          <w:p w14:paraId="0BB75AA2" w14:textId="77777777" w:rsidR="00D1675A" w:rsidRPr="00903BCB" w:rsidRDefault="00D1675A" w:rsidP="00F214DB">
            <w:pPr>
              <w:autoSpaceDE/>
              <w:autoSpaceDN/>
              <w:adjustRightInd/>
              <w:ind w:left="0" w:right="0"/>
              <w:jc w:val="left"/>
              <w:rPr>
                <w:rFonts w:eastAsia="Times New Roman"/>
                <w:color w:val="000000"/>
                <w:sz w:val="24"/>
                <w:szCs w:val="24"/>
              </w:rPr>
            </w:pPr>
          </w:p>
          <w:p w14:paraId="141CA9B5" w14:textId="77777777" w:rsidR="00D1675A" w:rsidRPr="00903BCB" w:rsidRDefault="00D1675A" w:rsidP="00F214DB">
            <w:pPr>
              <w:autoSpaceDE/>
              <w:autoSpaceDN/>
              <w:adjustRightInd/>
              <w:ind w:left="0" w:right="0"/>
              <w:jc w:val="left"/>
              <w:rPr>
                <w:rFonts w:eastAsia="Times New Roman"/>
                <w:color w:val="000000"/>
                <w:sz w:val="24"/>
                <w:szCs w:val="24"/>
              </w:rPr>
            </w:pPr>
          </w:p>
          <w:p w14:paraId="2AA748B7" w14:textId="77777777" w:rsidR="00D1675A" w:rsidRPr="00903BCB" w:rsidRDefault="00D1675A" w:rsidP="00F214DB">
            <w:pPr>
              <w:autoSpaceDE/>
              <w:autoSpaceDN/>
              <w:adjustRightInd/>
              <w:ind w:left="0" w:right="0"/>
              <w:jc w:val="left"/>
              <w:rPr>
                <w:rFonts w:eastAsia="Times New Roman"/>
                <w:color w:val="000000"/>
                <w:sz w:val="24"/>
                <w:szCs w:val="24"/>
              </w:rPr>
            </w:pPr>
          </w:p>
          <w:p w14:paraId="6E9D64A7" w14:textId="77777777" w:rsidR="00D1675A" w:rsidRPr="00903BCB" w:rsidRDefault="00D1675A" w:rsidP="00F214DB">
            <w:pPr>
              <w:autoSpaceDE/>
              <w:autoSpaceDN/>
              <w:adjustRightInd/>
              <w:ind w:left="0" w:right="0"/>
              <w:jc w:val="left"/>
              <w:rPr>
                <w:rFonts w:eastAsia="Times New Roman"/>
                <w:color w:val="000000"/>
                <w:sz w:val="24"/>
                <w:szCs w:val="24"/>
              </w:rPr>
            </w:pPr>
          </w:p>
          <w:p w14:paraId="272B4225" w14:textId="77777777" w:rsidR="00D1675A" w:rsidRPr="00903BCB" w:rsidRDefault="00D1675A" w:rsidP="00F214DB">
            <w:pPr>
              <w:autoSpaceDE/>
              <w:autoSpaceDN/>
              <w:adjustRightInd/>
              <w:ind w:left="0" w:right="0"/>
              <w:jc w:val="left"/>
              <w:rPr>
                <w:rFonts w:eastAsia="Times New Roman"/>
                <w:color w:val="000000"/>
                <w:sz w:val="24"/>
                <w:szCs w:val="24"/>
              </w:rPr>
            </w:pPr>
          </w:p>
          <w:p w14:paraId="41955970" w14:textId="77777777" w:rsidR="00D1675A" w:rsidRPr="00903BCB" w:rsidRDefault="00D1675A" w:rsidP="00F214DB">
            <w:pPr>
              <w:autoSpaceDE/>
              <w:autoSpaceDN/>
              <w:adjustRightInd/>
              <w:ind w:left="0" w:right="0"/>
              <w:jc w:val="left"/>
              <w:rPr>
                <w:rFonts w:eastAsia="Times New Roman"/>
                <w:color w:val="000000"/>
                <w:sz w:val="24"/>
                <w:szCs w:val="24"/>
              </w:rPr>
            </w:pPr>
          </w:p>
          <w:p w14:paraId="1994E8EB" w14:textId="77777777" w:rsidR="00D1675A" w:rsidRPr="00903BCB" w:rsidRDefault="00D1675A" w:rsidP="00F214DB">
            <w:pPr>
              <w:autoSpaceDE/>
              <w:autoSpaceDN/>
              <w:adjustRightInd/>
              <w:ind w:left="0" w:right="0"/>
              <w:jc w:val="left"/>
              <w:rPr>
                <w:rFonts w:eastAsia="Times New Roman"/>
                <w:color w:val="000000"/>
                <w:sz w:val="24"/>
                <w:szCs w:val="24"/>
              </w:rPr>
            </w:pPr>
          </w:p>
          <w:p w14:paraId="00B840F0" w14:textId="77777777" w:rsidR="00D1675A" w:rsidRPr="00903BCB" w:rsidRDefault="00D1675A" w:rsidP="00F214DB">
            <w:pPr>
              <w:autoSpaceDE/>
              <w:autoSpaceDN/>
              <w:adjustRightInd/>
              <w:ind w:left="0" w:right="0"/>
              <w:jc w:val="left"/>
              <w:rPr>
                <w:rFonts w:eastAsia="Times New Roman"/>
                <w:color w:val="000000"/>
                <w:sz w:val="24"/>
                <w:szCs w:val="24"/>
              </w:rPr>
            </w:pPr>
          </w:p>
          <w:p w14:paraId="379FE831" w14:textId="77777777" w:rsidR="00D1675A" w:rsidRPr="00903BCB" w:rsidRDefault="00D1675A" w:rsidP="00F214DB">
            <w:pPr>
              <w:autoSpaceDE/>
              <w:autoSpaceDN/>
              <w:adjustRightInd/>
              <w:ind w:left="0" w:right="0"/>
              <w:jc w:val="left"/>
              <w:rPr>
                <w:rFonts w:eastAsia="Times New Roman"/>
                <w:color w:val="000000"/>
                <w:sz w:val="24"/>
                <w:szCs w:val="24"/>
              </w:rPr>
            </w:pPr>
          </w:p>
          <w:p w14:paraId="0C9B71B4" w14:textId="77777777" w:rsidR="00D1675A" w:rsidRPr="00903BCB" w:rsidRDefault="00D1675A" w:rsidP="00F214DB">
            <w:pPr>
              <w:autoSpaceDE/>
              <w:autoSpaceDN/>
              <w:adjustRightInd/>
              <w:ind w:left="0" w:right="0"/>
              <w:jc w:val="left"/>
              <w:rPr>
                <w:rFonts w:eastAsia="Times New Roman"/>
                <w:color w:val="000000"/>
                <w:sz w:val="24"/>
                <w:szCs w:val="24"/>
              </w:rPr>
            </w:pPr>
          </w:p>
          <w:p w14:paraId="4265B36C" w14:textId="77777777" w:rsidR="00D1675A" w:rsidRPr="00903BCB" w:rsidRDefault="00D1675A" w:rsidP="00F214DB">
            <w:pPr>
              <w:autoSpaceDE/>
              <w:autoSpaceDN/>
              <w:adjustRightInd/>
              <w:ind w:left="0" w:right="0"/>
              <w:jc w:val="left"/>
              <w:rPr>
                <w:rFonts w:eastAsia="Times New Roman"/>
                <w:color w:val="000000"/>
                <w:sz w:val="24"/>
                <w:szCs w:val="24"/>
              </w:rPr>
            </w:pPr>
          </w:p>
          <w:p w14:paraId="52A11671" w14:textId="77777777" w:rsidR="00D1675A" w:rsidRPr="00903BCB" w:rsidRDefault="00D1675A" w:rsidP="00F214DB">
            <w:pPr>
              <w:autoSpaceDE/>
              <w:autoSpaceDN/>
              <w:adjustRightInd/>
              <w:ind w:left="0" w:right="0"/>
              <w:jc w:val="left"/>
              <w:rPr>
                <w:rFonts w:eastAsia="Times New Roman"/>
                <w:color w:val="000000"/>
                <w:sz w:val="24"/>
                <w:szCs w:val="24"/>
              </w:rPr>
            </w:pPr>
          </w:p>
          <w:p w14:paraId="08E6CF96" w14:textId="77777777" w:rsidR="00D1675A" w:rsidRPr="00903BCB" w:rsidRDefault="00D1675A" w:rsidP="00F214DB">
            <w:pPr>
              <w:autoSpaceDE/>
              <w:autoSpaceDN/>
              <w:adjustRightInd/>
              <w:ind w:left="0" w:right="0"/>
              <w:jc w:val="left"/>
              <w:rPr>
                <w:rFonts w:eastAsia="Times New Roman"/>
                <w:color w:val="000000"/>
                <w:sz w:val="24"/>
                <w:szCs w:val="24"/>
              </w:rPr>
            </w:pPr>
          </w:p>
          <w:p w14:paraId="19B65B80" w14:textId="77777777" w:rsidR="00D1675A" w:rsidRPr="00903BCB" w:rsidRDefault="00D1675A" w:rsidP="00F214DB">
            <w:pPr>
              <w:autoSpaceDE/>
              <w:autoSpaceDN/>
              <w:adjustRightInd/>
              <w:ind w:left="0" w:right="0"/>
              <w:jc w:val="left"/>
              <w:rPr>
                <w:rFonts w:eastAsia="Times New Roman"/>
                <w:color w:val="000000"/>
                <w:sz w:val="24"/>
                <w:szCs w:val="24"/>
              </w:rPr>
            </w:pPr>
          </w:p>
          <w:p w14:paraId="03E10536" w14:textId="77777777" w:rsidR="00D1675A" w:rsidRPr="00903BCB" w:rsidRDefault="00D1675A" w:rsidP="00F214DB">
            <w:pPr>
              <w:autoSpaceDE/>
              <w:autoSpaceDN/>
              <w:adjustRightInd/>
              <w:ind w:left="0" w:right="0"/>
              <w:jc w:val="left"/>
              <w:rPr>
                <w:rFonts w:eastAsia="Times New Roman"/>
                <w:color w:val="000000"/>
                <w:sz w:val="24"/>
                <w:szCs w:val="24"/>
              </w:rPr>
            </w:pPr>
          </w:p>
          <w:p w14:paraId="6A919592" w14:textId="77777777" w:rsidR="00D1675A" w:rsidRPr="00903BCB" w:rsidRDefault="00D1675A" w:rsidP="00F214DB">
            <w:pPr>
              <w:autoSpaceDE/>
              <w:autoSpaceDN/>
              <w:adjustRightInd/>
              <w:ind w:left="0" w:right="0"/>
              <w:jc w:val="left"/>
              <w:rPr>
                <w:rFonts w:eastAsia="Times New Roman"/>
                <w:color w:val="000000"/>
                <w:sz w:val="24"/>
                <w:szCs w:val="24"/>
              </w:rPr>
            </w:pPr>
          </w:p>
          <w:p w14:paraId="6E2401A4" w14:textId="77777777" w:rsidR="00D1675A" w:rsidRPr="00903BCB" w:rsidRDefault="00D1675A" w:rsidP="00F214DB">
            <w:pPr>
              <w:autoSpaceDE/>
              <w:autoSpaceDN/>
              <w:adjustRightInd/>
              <w:ind w:left="0" w:right="0"/>
              <w:jc w:val="left"/>
              <w:rPr>
                <w:rFonts w:eastAsia="Times New Roman"/>
                <w:color w:val="000000"/>
                <w:sz w:val="24"/>
                <w:szCs w:val="24"/>
              </w:rPr>
            </w:pPr>
          </w:p>
          <w:p w14:paraId="765FD73A" w14:textId="77777777" w:rsidR="00D1675A" w:rsidRPr="00903BCB" w:rsidRDefault="00D1675A" w:rsidP="00F214DB">
            <w:pPr>
              <w:autoSpaceDE/>
              <w:autoSpaceDN/>
              <w:adjustRightInd/>
              <w:ind w:left="0" w:right="0"/>
              <w:jc w:val="left"/>
              <w:rPr>
                <w:rFonts w:eastAsia="Times New Roman"/>
                <w:color w:val="000000"/>
                <w:sz w:val="24"/>
                <w:szCs w:val="24"/>
              </w:rPr>
            </w:pPr>
          </w:p>
          <w:p w14:paraId="55D0C694" w14:textId="77777777" w:rsidR="00D1675A" w:rsidRPr="00903BCB" w:rsidRDefault="00D1675A" w:rsidP="00F214DB">
            <w:pPr>
              <w:autoSpaceDE/>
              <w:autoSpaceDN/>
              <w:adjustRightInd/>
              <w:ind w:left="0" w:right="0"/>
              <w:jc w:val="left"/>
              <w:rPr>
                <w:rFonts w:eastAsia="Times New Roman"/>
                <w:color w:val="000000"/>
                <w:sz w:val="24"/>
                <w:szCs w:val="24"/>
              </w:rPr>
            </w:pPr>
          </w:p>
          <w:p w14:paraId="455EF501" w14:textId="77777777" w:rsidR="00D1675A" w:rsidRPr="00903BCB" w:rsidRDefault="00D1675A" w:rsidP="00F214DB">
            <w:pPr>
              <w:autoSpaceDE/>
              <w:autoSpaceDN/>
              <w:adjustRightInd/>
              <w:ind w:left="0" w:right="0"/>
              <w:jc w:val="left"/>
              <w:rPr>
                <w:rFonts w:eastAsia="Times New Roman"/>
                <w:color w:val="000000"/>
                <w:sz w:val="24"/>
                <w:szCs w:val="24"/>
              </w:rPr>
            </w:pPr>
          </w:p>
          <w:p w14:paraId="66EA0E03" w14:textId="77777777" w:rsidR="00D1675A" w:rsidRPr="00903BCB" w:rsidRDefault="00D1675A" w:rsidP="00F214DB">
            <w:pPr>
              <w:autoSpaceDE/>
              <w:autoSpaceDN/>
              <w:adjustRightInd/>
              <w:ind w:left="0" w:right="0"/>
              <w:jc w:val="left"/>
              <w:rPr>
                <w:rFonts w:eastAsia="Times New Roman"/>
                <w:color w:val="000000"/>
                <w:sz w:val="24"/>
                <w:szCs w:val="24"/>
              </w:rPr>
            </w:pPr>
          </w:p>
          <w:p w14:paraId="3C288373" w14:textId="77777777" w:rsidR="00D1675A" w:rsidRPr="00903BCB" w:rsidRDefault="00D1675A"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79479E01"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1. Town and street planning: Town planning; street opening, modification, pavement and cancellation and determination of street width and straightness; street sidewalk construction; street maintenance, sanitation, beautification and tree planting; naming or numbering of streets and numbering of their buildings; prevention of street encroachments; monitor open areas adjacent to them and instruct their owners to erect walls around them.</w:t>
            </w:r>
          </w:p>
        </w:tc>
        <w:tc>
          <w:tcPr>
            <w:tcW w:w="1760" w:type="dxa"/>
            <w:tcBorders>
              <w:top w:val="nil"/>
              <w:left w:val="nil"/>
              <w:bottom w:val="nil"/>
              <w:right w:val="single" w:sz="8" w:space="0" w:color="auto"/>
            </w:tcBorders>
            <w:shd w:val="clear" w:color="auto" w:fill="auto"/>
            <w:vAlign w:val="center"/>
            <w:hideMark/>
          </w:tcPr>
          <w:p w14:paraId="4B85744A"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1BFBBCED" w14:textId="77777777" w:rsidTr="00480462">
        <w:trPr>
          <w:trHeight w:val="1120"/>
        </w:trPr>
        <w:tc>
          <w:tcPr>
            <w:tcW w:w="2180" w:type="dxa"/>
            <w:vMerge/>
            <w:tcBorders>
              <w:left w:val="single" w:sz="4" w:space="0" w:color="auto"/>
              <w:bottom w:val="single" w:sz="4" w:space="0" w:color="auto"/>
              <w:right w:val="single" w:sz="4" w:space="0" w:color="auto"/>
            </w:tcBorders>
            <w:vAlign w:val="center"/>
            <w:hideMark/>
          </w:tcPr>
          <w:p w14:paraId="5E8AD304"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0ECE2AA1" w14:textId="157E1F5B"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2. Building Licenses: Monitor building construction, demolition, reshaping and installation of electrical lifts; issue licenses to carry out these operations; determine the building location, layout and its area in ratio to the land area on which it is plan</w:t>
            </w:r>
            <w:r w:rsidR="00AD2A25" w:rsidRPr="00903BCB">
              <w:rPr>
                <w:rFonts w:eastAsia="Times New Roman"/>
                <w:color w:val="000000"/>
                <w:sz w:val="24"/>
                <w:szCs w:val="24"/>
              </w:rPr>
              <w:t>n</w:t>
            </w:r>
            <w:r w:rsidRPr="00903BCB">
              <w:rPr>
                <w:rFonts w:eastAsia="Times New Roman"/>
                <w:color w:val="000000"/>
                <w:sz w:val="24"/>
                <w:szCs w:val="24"/>
              </w:rPr>
              <w:t>ed to be constructed; ensure satisf</w:t>
            </w:r>
            <w:r w:rsidR="00AD2A25" w:rsidRPr="00903BCB">
              <w:rPr>
                <w:rFonts w:eastAsia="Times New Roman"/>
                <w:color w:val="000000"/>
                <w:sz w:val="24"/>
                <w:szCs w:val="24"/>
              </w:rPr>
              <w:t xml:space="preserve">action of </w:t>
            </w:r>
            <w:r w:rsidRPr="00903BCB">
              <w:rPr>
                <w:rFonts w:eastAsia="Times New Roman"/>
                <w:color w:val="000000"/>
                <w:sz w:val="24"/>
                <w:szCs w:val="24"/>
              </w:rPr>
              <w:t xml:space="preserve">sanitary conditions and electricity. </w:t>
            </w:r>
          </w:p>
        </w:tc>
        <w:tc>
          <w:tcPr>
            <w:tcW w:w="1760" w:type="dxa"/>
            <w:tcBorders>
              <w:top w:val="nil"/>
              <w:left w:val="nil"/>
              <w:bottom w:val="nil"/>
              <w:right w:val="single" w:sz="8" w:space="0" w:color="auto"/>
            </w:tcBorders>
            <w:shd w:val="clear" w:color="auto" w:fill="auto"/>
            <w:vAlign w:val="center"/>
            <w:hideMark/>
          </w:tcPr>
          <w:p w14:paraId="164624BA"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4FF32B3E"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238BA345"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3F03595F"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3. </w:t>
            </w:r>
            <w:r w:rsidR="002C7E95" w:rsidRPr="00903BCB">
              <w:rPr>
                <w:rFonts w:eastAsia="Times New Roman"/>
                <w:color w:val="000000"/>
                <w:sz w:val="24"/>
                <w:szCs w:val="24"/>
              </w:rPr>
              <w:t>Sewage system</w:t>
            </w:r>
            <w:r w:rsidRPr="00903BCB">
              <w:rPr>
                <w:rFonts w:eastAsia="Times New Roman"/>
                <w:color w:val="000000"/>
                <w:sz w:val="24"/>
                <w:szCs w:val="24"/>
              </w:rPr>
              <w:t>: Drain storm water, construct, manage and monitor public toilets and sanitary utilities.</w:t>
            </w:r>
          </w:p>
        </w:tc>
        <w:tc>
          <w:tcPr>
            <w:tcW w:w="1760" w:type="dxa"/>
            <w:tcBorders>
              <w:top w:val="nil"/>
              <w:left w:val="nil"/>
              <w:bottom w:val="nil"/>
              <w:right w:val="single" w:sz="8" w:space="0" w:color="auto"/>
            </w:tcBorders>
            <w:shd w:val="clear" w:color="auto" w:fill="auto"/>
            <w:vAlign w:val="center"/>
            <w:hideMark/>
          </w:tcPr>
          <w:p w14:paraId="7E885A0A"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30AF6024"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3ECEBBDF"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1C0A2564" w14:textId="77777777" w:rsidR="00F214DB" w:rsidRPr="00903BCB" w:rsidRDefault="002C7E95"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4. Public markets: Organiz</w:t>
            </w:r>
            <w:r w:rsidR="00F214DB" w:rsidRPr="00903BCB">
              <w:rPr>
                <w:rFonts w:eastAsia="Times New Roman"/>
                <w:color w:val="000000"/>
                <w:sz w:val="24"/>
                <w:szCs w:val="24"/>
              </w:rPr>
              <w:t xml:space="preserve">e and establish public markets and designate the types of products to be sold in each or forbid the sale of such products outside. </w:t>
            </w:r>
          </w:p>
        </w:tc>
        <w:tc>
          <w:tcPr>
            <w:tcW w:w="1760" w:type="dxa"/>
            <w:tcBorders>
              <w:top w:val="nil"/>
              <w:left w:val="nil"/>
              <w:bottom w:val="nil"/>
              <w:right w:val="single" w:sz="8" w:space="0" w:color="auto"/>
            </w:tcBorders>
            <w:shd w:val="clear" w:color="auto" w:fill="auto"/>
            <w:vAlign w:val="center"/>
            <w:hideMark/>
          </w:tcPr>
          <w:p w14:paraId="4C493CD4"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10905ACD"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530817B9"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7882FB75" w14:textId="5900F36A" w:rsidR="00F214DB" w:rsidRPr="00903BCB" w:rsidRDefault="002C7E95"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5. Craft and industries: Organiz</w:t>
            </w:r>
            <w:r w:rsidR="00F214DB" w:rsidRPr="00903BCB">
              <w:rPr>
                <w:rFonts w:eastAsia="Times New Roman"/>
                <w:color w:val="000000"/>
                <w:sz w:val="24"/>
                <w:szCs w:val="24"/>
              </w:rPr>
              <w:t>e craft and industries and designate quarters for each type; monitor stores and activities that cause disturbance</w:t>
            </w:r>
            <w:r w:rsidR="0083085E" w:rsidRPr="00903BCB">
              <w:rPr>
                <w:rFonts w:eastAsia="Times New Roman"/>
                <w:color w:val="000000"/>
                <w:sz w:val="24"/>
                <w:szCs w:val="24"/>
              </w:rPr>
              <w:t>s</w:t>
            </w:r>
            <w:r w:rsidR="00F214DB" w:rsidRPr="00903BCB">
              <w:rPr>
                <w:rFonts w:eastAsia="Times New Roman"/>
                <w:color w:val="000000"/>
                <w:sz w:val="24"/>
                <w:szCs w:val="24"/>
              </w:rPr>
              <w:t xml:space="preserve"> or pose health hazards. </w:t>
            </w:r>
          </w:p>
        </w:tc>
        <w:tc>
          <w:tcPr>
            <w:tcW w:w="1760" w:type="dxa"/>
            <w:tcBorders>
              <w:top w:val="nil"/>
              <w:left w:val="nil"/>
              <w:bottom w:val="nil"/>
              <w:right w:val="single" w:sz="8" w:space="0" w:color="auto"/>
            </w:tcBorders>
            <w:shd w:val="clear" w:color="auto" w:fill="auto"/>
            <w:vAlign w:val="center"/>
            <w:hideMark/>
          </w:tcPr>
          <w:p w14:paraId="53F59CE2"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24653A70"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0CF83601"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293C7B70"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6. Road transportation vehicles and means: Construct, designate, organize and monitor road vehicle parking lots within the boundaries of the municipalities. </w:t>
            </w:r>
          </w:p>
        </w:tc>
        <w:tc>
          <w:tcPr>
            <w:tcW w:w="1760" w:type="dxa"/>
            <w:tcBorders>
              <w:top w:val="nil"/>
              <w:left w:val="nil"/>
              <w:bottom w:val="nil"/>
              <w:right w:val="single" w:sz="8" w:space="0" w:color="auto"/>
            </w:tcBorders>
            <w:shd w:val="clear" w:color="auto" w:fill="auto"/>
            <w:vAlign w:val="center"/>
            <w:hideMark/>
          </w:tcPr>
          <w:p w14:paraId="10583E93"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7EB073CD" w14:textId="77777777" w:rsidTr="00480462">
        <w:trPr>
          <w:trHeight w:val="840"/>
        </w:trPr>
        <w:tc>
          <w:tcPr>
            <w:tcW w:w="2180" w:type="dxa"/>
            <w:vMerge/>
            <w:tcBorders>
              <w:left w:val="single" w:sz="4" w:space="0" w:color="auto"/>
              <w:bottom w:val="single" w:sz="4" w:space="0" w:color="auto"/>
              <w:right w:val="single" w:sz="4" w:space="0" w:color="auto"/>
            </w:tcBorders>
            <w:vAlign w:val="center"/>
            <w:hideMark/>
          </w:tcPr>
          <w:p w14:paraId="5A7F9488"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6B7207EF" w14:textId="1EB16FCD" w:rsidR="00F214DB" w:rsidRPr="00903BCB" w:rsidRDefault="00F214DB" w:rsidP="0083085E">
            <w:pPr>
              <w:autoSpaceDE/>
              <w:autoSpaceDN/>
              <w:adjustRightInd/>
              <w:ind w:left="0" w:right="0"/>
              <w:jc w:val="left"/>
              <w:rPr>
                <w:rFonts w:eastAsia="Times New Roman"/>
                <w:color w:val="000000"/>
                <w:sz w:val="24"/>
                <w:szCs w:val="24"/>
              </w:rPr>
            </w:pPr>
            <w:r w:rsidRPr="00903BCB">
              <w:rPr>
                <w:rFonts w:eastAsia="Times New Roman"/>
                <w:color w:val="000000"/>
                <w:sz w:val="24"/>
                <w:szCs w:val="24"/>
              </w:rPr>
              <w:t>7. Public places: Monitor restaurants, cafes, clubs, pubs, discotheques, playgrounds, theatres, cinemas and other recreational areas. Organize, determine opening and closing</w:t>
            </w:r>
            <w:r w:rsidR="0083085E" w:rsidRPr="00903BCB">
              <w:rPr>
                <w:rFonts w:eastAsia="Times New Roman"/>
                <w:color w:val="000000"/>
                <w:sz w:val="24"/>
                <w:szCs w:val="24"/>
              </w:rPr>
              <w:t xml:space="preserve"> times</w:t>
            </w:r>
            <w:r w:rsidRPr="00903BCB">
              <w:rPr>
                <w:rFonts w:eastAsia="Times New Roman"/>
                <w:color w:val="000000"/>
                <w:sz w:val="24"/>
                <w:szCs w:val="24"/>
              </w:rPr>
              <w:t xml:space="preserve"> of these facilities, impose and levy fees on their ticket sales. </w:t>
            </w:r>
          </w:p>
        </w:tc>
        <w:tc>
          <w:tcPr>
            <w:tcW w:w="1760" w:type="dxa"/>
            <w:tcBorders>
              <w:top w:val="nil"/>
              <w:left w:val="nil"/>
              <w:bottom w:val="nil"/>
              <w:right w:val="single" w:sz="8" w:space="0" w:color="auto"/>
            </w:tcBorders>
            <w:shd w:val="clear" w:color="auto" w:fill="auto"/>
            <w:vAlign w:val="center"/>
            <w:hideMark/>
          </w:tcPr>
          <w:p w14:paraId="10A7568F"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4848B9D6" w14:textId="77777777" w:rsidTr="00480462">
        <w:trPr>
          <w:trHeight w:val="300"/>
        </w:trPr>
        <w:tc>
          <w:tcPr>
            <w:tcW w:w="2180" w:type="dxa"/>
            <w:vMerge/>
            <w:tcBorders>
              <w:left w:val="single" w:sz="4" w:space="0" w:color="auto"/>
              <w:bottom w:val="single" w:sz="4" w:space="0" w:color="auto"/>
              <w:right w:val="single" w:sz="4" w:space="0" w:color="auto"/>
            </w:tcBorders>
            <w:vAlign w:val="center"/>
            <w:hideMark/>
          </w:tcPr>
          <w:p w14:paraId="52578718"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02E674DF" w14:textId="0110C8A0" w:rsidR="00F214DB" w:rsidRPr="00903BCB" w:rsidRDefault="00F214DB" w:rsidP="00130F85">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8. Parks:  Construct yards, gardens, parks, and swimming areas. </w:t>
            </w:r>
          </w:p>
        </w:tc>
        <w:tc>
          <w:tcPr>
            <w:tcW w:w="1760" w:type="dxa"/>
            <w:tcBorders>
              <w:top w:val="nil"/>
              <w:left w:val="nil"/>
              <w:bottom w:val="nil"/>
              <w:right w:val="single" w:sz="8" w:space="0" w:color="auto"/>
            </w:tcBorders>
            <w:shd w:val="clear" w:color="auto" w:fill="auto"/>
            <w:vAlign w:val="center"/>
            <w:hideMark/>
          </w:tcPr>
          <w:p w14:paraId="5E1E379F"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18C1978C"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290E26E0"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1EF63AF1"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9. Extinguishers and fire prevention: Take precautionary measures to prevent fires, monitor fuel and flammable materials, regulate their sale and storage, possess and maintain extinguishers. </w:t>
            </w:r>
          </w:p>
        </w:tc>
        <w:tc>
          <w:tcPr>
            <w:tcW w:w="1760" w:type="dxa"/>
            <w:tcBorders>
              <w:top w:val="nil"/>
              <w:left w:val="nil"/>
              <w:bottom w:val="nil"/>
              <w:right w:val="single" w:sz="8" w:space="0" w:color="auto"/>
            </w:tcBorders>
            <w:shd w:val="clear" w:color="auto" w:fill="auto"/>
            <w:vAlign w:val="center"/>
            <w:hideMark/>
          </w:tcPr>
          <w:p w14:paraId="673FE1AD"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5CCB923E" w14:textId="77777777" w:rsidTr="00480462">
        <w:trPr>
          <w:trHeight w:val="300"/>
        </w:trPr>
        <w:tc>
          <w:tcPr>
            <w:tcW w:w="2180" w:type="dxa"/>
            <w:vMerge/>
            <w:tcBorders>
              <w:left w:val="single" w:sz="4" w:space="0" w:color="auto"/>
              <w:bottom w:val="single" w:sz="4" w:space="0" w:color="auto"/>
              <w:right w:val="single" w:sz="4" w:space="0" w:color="auto"/>
            </w:tcBorders>
            <w:vAlign w:val="center"/>
            <w:hideMark/>
          </w:tcPr>
          <w:p w14:paraId="55DF8656"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7B317F15"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10. Flood precautions: Take precautions to prevent damages from floods and storm water. </w:t>
            </w:r>
          </w:p>
        </w:tc>
        <w:tc>
          <w:tcPr>
            <w:tcW w:w="1760" w:type="dxa"/>
            <w:tcBorders>
              <w:top w:val="nil"/>
              <w:left w:val="nil"/>
              <w:bottom w:val="nil"/>
              <w:right w:val="single" w:sz="8" w:space="0" w:color="auto"/>
            </w:tcBorders>
            <w:shd w:val="clear" w:color="auto" w:fill="auto"/>
            <w:vAlign w:val="center"/>
            <w:hideMark/>
          </w:tcPr>
          <w:p w14:paraId="34E553C6"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1DD5CDE8"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08B64106"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52E93741" w14:textId="703F0CA8" w:rsidR="00F214DB" w:rsidRPr="00903BCB" w:rsidRDefault="00F214DB" w:rsidP="009D6031">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11. Rescue </w:t>
            </w:r>
            <w:r w:rsidR="009D6031" w:rsidRPr="00903BCB">
              <w:rPr>
                <w:rFonts w:eastAsia="Times New Roman"/>
                <w:color w:val="000000"/>
                <w:sz w:val="24"/>
                <w:szCs w:val="24"/>
              </w:rPr>
              <w:t>disaster</w:t>
            </w:r>
            <w:r w:rsidRPr="00903BCB">
              <w:rPr>
                <w:rFonts w:eastAsia="Times New Roman"/>
                <w:color w:val="000000"/>
                <w:sz w:val="24"/>
                <w:szCs w:val="24"/>
              </w:rPr>
              <w:t xml:space="preserve"> victims: Rescue victims of fires, floods, earthquakes and other general disasters; collect and distribute donations. </w:t>
            </w:r>
          </w:p>
        </w:tc>
        <w:tc>
          <w:tcPr>
            <w:tcW w:w="1760" w:type="dxa"/>
            <w:tcBorders>
              <w:top w:val="nil"/>
              <w:left w:val="nil"/>
              <w:bottom w:val="nil"/>
              <w:right w:val="single" w:sz="8" w:space="0" w:color="auto"/>
            </w:tcBorders>
            <w:shd w:val="clear" w:color="auto" w:fill="auto"/>
            <w:vAlign w:val="center"/>
            <w:hideMark/>
          </w:tcPr>
          <w:p w14:paraId="57F99BAB"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5EEFDFE3"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2E490E81"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43BE40CE"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12. Cultural and athletic institutions: Establish and monitor museums, public libraries and schools as well as cultural, athletic, social and musical clubs.</w:t>
            </w:r>
          </w:p>
        </w:tc>
        <w:tc>
          <w:tcPr>
            <w:tcW w:w="1760" w:type="dxa"/>
            <w:tcBorders>
              <w:top w:val="nil"/>
              <w:left w:val="nil"/>
              <w:bottom w:val="nil"/>
              <w:right w:val="single" w:sz="8" w:space="0" w:color="auto"/>
            </w:tcBorders>
            <w:shd w:val="clear" w:color="auto" w:fill="auto"/>
            <w:vAlign w:val="center"/>
            <w:hideMark/>
          </w:tcPr>
          <w:p w14:paraId="74C905C9"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05D34613"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336CE8A6"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7425F255" w14:textId="3D94D44A"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13. Food: Monitor bread, meat, fish, fruit, vegetables and other foodstuff and take the necessary action to prevent cheating; destroy spoiled food</w:t>
            </w:r>
            <w:r w:rsidR="006717AB" w:rsidRPr="00903BCB">
              <w:rPr>
                <w:rFonts w:eastAsia="Times New Roman"/>
                <w:color w:val="000000"/>
                <w:sz w:val="24"/>
                <w:szCs w:val="24"/>
              </w:rPr>
              <w:t>,</w:t>
            </w:r>
            <w:r w:rsidRPr="00903BCB">
              <w:rPr>
                <w:rFonts w:eastAsia="Times New Roman"/>
                <w:color w:val="000000"/>
                <w:sz w:val="24"/>
                <w:szCs w:val="24"/>
              </w:rPr>
              <w:t xml:space="preserve"> and fix prices and fight high costs. </w:t>
            </w:r>
          </w:p>
        </w:tc>
        <w:tc>
          <w:tcPr>
            <w:tcW w:w="1760" w:type="dxa"/>
            <w:tcBorders>
              <w:top w:val="nil"/>
              <w:left w:val="nil"/>
              <w:bottom w:val="nil"/>
              <w:right w:val="single" w:sz="8" w:space="0" w:color="auto"/>
            </w:tcBorders>
            <w:shd w:val="clear" w:color="auto" w:fill="auto"/>
            <w:vAlign w:val="center"/>
            <w:hideMark/>
          </w:tcPr>
          <w:p w14:paraId="6ECE9266"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165314D8" w14:textId="77777777" w:rsidTr="00480462">
        <w:trPr>
          <w:trHeight w:val="1120"/>
        </w:trPr>
        <w:tc>
          <w:tcPr>
            <w:tcW w:w="2180" w:type="dxa"/>
            <w:vMerge/>
            <w:tcBorders>
              <w:left w:val="single" w:sz="4" w:space="0" w:color="auto"/>
              <w:bottom w:val="single" w:sz="4" w:space="0" w:color="auto"/>
              <w:right w:val="single" w:sz="4" w:space="0" w:color="auto"/>
            </w:tcBorders>
            <w:vAlign w:val="center"/>
            <w:hideMark/>
          </w:tcPr>
          <w:p w14:paraId="1533F37D"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0510B8D0" w14:textId="64ADE3D7" w:rsidR="00F214DB" w:rsidRPr="00903BCB" w:rsidRDefault="00F214DB" w:rsidP="006717A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14. Inspection of slaughtered animals and establishment of slaughterhouses: Examine animals and poultry ready for slaughtering; take necessary action to avoid their infection; designate areas for </w:t>
            </w:r>
            <w:r w:rsidR="006717AB" w:rsidRPr="00903BCB">
              <w:rPr>
                <w:rFonts w:eastAsia="Times New Roman"/>
                <w:color w:val="000000"/>
                <w:sz w:val="24"/>
                <w:szCs w:val="24"/>
              </w:rPr>
              <w:t>sale</w:t>
            </w:r>
            <w:r w:rsidRPr="00903BCB">
              <w:rPr>
                <w:rFonts w:eastAsia="Times New Roman"/>
                <w:color w:val="000000"/>
                <w:sz w:val="24"/>
                <w:szCs w:val="24"/>
              </w:rPr>
              <w:t xml:space="preserve">, monitor slaughtering operations, dispose </w:t>
            </w:r>
            <w:r w:rsidR="006717AB" w:rsidRPr="00903BCB">
              <w:rPr>
                <w:rFonts w:eastAsia="Times New Roman"/>
                <w:color w:val="000000"/>
                <w:sz w:val="24"/>
                <w:szCs w:val="24"/>
              </w:rPr>
              <w:t xml:space="preserve">of </w:t>
            </w:r>
            <w:r w:rsidRPr="00903BCB">
              <w:rPr>
                <w:rFonts w:eastAsia="Times New Roman"/>
                <w:color w:val="000000"/>
                <w:sz w:val="24"/>
                <w:szCs w:val="24"/>
              </w:rPr>
              <w:t xml:space="preserve">remains and establish slaughterhouses. </w:t>
            </w:r>
          </w:p>
        </w:tc>
        <w:tc>
          <w:tcPr>
            <w:tcW w:w="1760" w:type="dxa"/>
            <w:tcBorders>
              <w:top w:val="nil"/>
              <w:left w:val="nil"/>
              <w:bottom w:val="nil"/>
              <w:right w:val="single" w:sz="8" w:space="0" w:color="auto"/>
            </w:tcBorders>
            <w:shd w:val="clear" w:color="auto" w:fill="auto"/>
            <w:vAlign w:val="center"/>
            <w:hideMark/>
          </w:tcPr>
          <w:p w14:paraId="6D8EB217"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61558183"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0C5358F2"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7487F169"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15. Cleaning services: Collect garbage, trash and waste from houses and public stores; transport and destroy such waste and regulate the operation. </w:t>
            </w:r>
          </w:p>
        </w:tc>
        <w:tc>
          <w:tcPr>
            <w:tcW w:w="1760" w:type="dxa"/>
            <w:tcBorders>
              <w:top w:val="nil"/>
              <w:left w:val="nil"/>
              <w:bottom w:val="nil"/>
              <w:right w:val="single" w:sz="8" w:space="0" w:color="auto"/>
            </w:tcBorders>
            <w:shd w:val="clear" w:color="auto" w:fill="auto"/>
            <w:vAlign w:val="center"/>
            <w:hideMark/>
          </w:tcPr>
          <w:p w14:paraId="1E453D83"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105FC48E" w14:textId="77777777" w:rsidTr="00480462">
        <w:trPr>
          <w:trHeight w:val="840"/>
        </w:trPr>
        <w:tc>
          <w:tcPr>
            <w:tcW w:w="2180" w:type="dxa"/>
            <w:vMerge/>
            <w:tcBorders>
              <w:left w:val="single" w:sz="4" w:space="0" w:color="auto"/>
              <w:bottom w:val="single" w:sz="4" w:space="0" w:color="auto"/>
              <w:right w:val="single" w:sz="4" w:space="0" w:color="auto"/>
            </w:tcBorders>
            <w:vAlign w:val="center"/>
            <w:hideMark/>
          </w:tcPr>
          <w:p w14:paraId="28565DE7"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145D1C32" w14:textId="32A813DA" w:rsidR="00F214DB" w:rsidRPr="00903BCB" w:rsidRDefault="00F214DB" w:rsidP="006717A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16. Health control: Monitor houses and other stores to ensure that they dispose </w:t>
            </w:r>
            <w:r w:rsidR="006717AB" w:rsidRPr="00903BCB">
              <w:rPr>
                <w:rFonts w:eastAsia="Times New Roman"/>
                <w:color w:val="000000"/>
                <w:sz w:val="24"/>
                <w:szCs w:val="24"/>
              </w:rPr>
              <w:t xml:space="preserve">of </w:t>
            </w:r>
            <w:r w:rsidRPr="00903BCB">
              <w:rPr>
                <w:rFonts w:eastAsia="Times New Roman"/>
                <w:color w:val="000000"/>
                <w:sz w:val="24"/>
                <w:szCs w:val="24"/>
              </w:rPr>
              <w:t>their waste properly</w:t>
            </w:r>
            <w:r w:rsidR="006717AB" w:rsidRPr="00903BCB">
              <w:rPr>
                <w:rFonts w:eastAsia="Times New Roman"/>
                <w:color w:val="000000"/>
                <w:sz w:val="24"/>
                <w:szCs w:val="24"/>
              </w:rPr>
              <w:t>,</w:t>
            </w:r>
            <w:r w:rsidRPr="00903BCB">
              <w:rPr>
                <w:rFonts w:eastAsia="Times New Roman"/>
                <w:color w:val="000000"/>
                <w:sz w:val="24"/>
                <w:szCs w:val="24"/>
              </w:rPr>
              <w:t xml:space="preserve"> to ensure that equipment is </w:t>
            </w:r>
            <w:r w:rsidR="006717AB" w:rsidRPr="00903BCB">
              <w:rPr>
                <w:rFonts w:eastAsia="Times New Roman"/>
                <w:color w:val="000000"/>
                <w:sz w:val="24"/>
                <w:szCs w:val="24"/>
              </w:rPr>
              <w:t>sanitary</w:t>
            </w:r>
            <w:r w:rsidRPr="00903BCB">
              <w:rPr>
                <w:rFonts w:eastAsia="Times New Roman"/>
                <w:color w:val="000000"/>
                <w:sz w:val="24"/>
                <w:szCs w:val="24"/>
              </w:rPr>
              <w:t xml:space="preserve">. Take necessary precautions to prevent </w:t>
            </w:r>
            <w:r w:rsidR="006717AB" w:rsidRPr="00903BCB">
              <w:rPr>
                <w:rFonts w:eastAsia="Times New Roman"/>
                <w:color w:val="000000"/>
                <w:sz w:val="24"/>
                <w:szCs w:val="24"/>
              </w:rPr>
              <w:t xml:space="preserve">ousted </w:t>
            </w:r>
            <w:r w:rsidRPr="00903BCB">
              <w:rPr>
                <w:rFonts w:eastAsia="Times New Roman"/>
                <w:color w:val="000000"/>
                <w:sz w:val="24"/>
                <w:szCs w:val="24"/>
              </w:rPr>
              <w:t xml:space="preserve">mosquitoes and other insects from </w:t>
            </w:r>
            <w:r w:rsidR="006717AB" w:rsidRPr="00903BCB">
              <w:rPr>
                <w:rFonts w:eastAsia="Times New Roman"/>
                <w:color w:val="000000"/>
                <w:sz w:val="24"/>
                <w:szCs w:val="24"/>
              </w:rPr>
              <w:t>returning</w:t>
            </w:r>
            <w:r w:rsidRPr="00903BCB">
              <w:rPr>
                <w:rFonts w:eastAsia="Times New Roman"/>
                <w:color w:val="000000"/>
                <w:sz w:val="24"/>
                <w:szCs w:val="24"/>
              </w:rPr>
              <w:t xml:space="preserve">. </w:t>
            </w:r>
          </w:p>
        </w:tc>
        <w:tc>
          <w:tcPr>
            <w:tcW w:w="1760" w:type="dxa"/>
            <w:tcBorders>
              <w:top w:val="nil"/>
              <w:left w:val="nil"/>
              <w:bottom w:val="nil"/>
              <w:right w:val="single" w:sz="8" w:space="0" w:color="auto"/>
            </w:tcBorders>
            <w:shd w:val="clear" w:color="auto" w:fill="auto"/>
            <w:vAlign w:val="center"/>
            <w:hideMark/>
          </w:tcPr>
          <w:p w14:paraId="530F6342"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0AC7AFD2"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45042C70"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4C29AF03" w14:textId="6FCE4593"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17. Public health: Take all necessary precautions and procedures to maintain public health and prevent </w:t>
            </w:r>
            <w:r w:rsidR="00D74F5D" w:rsidRPr="00903BCB">
              <w:rPr>
                <w:rFonts w:eastAsia="Times New Roman"/>
                <w:color w:val="000000"/>
                <w:sz w:val="24"/>
                <w:szCs w:val="24"/>
              </w:rPr>
              <w:t xml:space="preserve">the </w:t>
            </w:r>
            <w:r w:rsidRPr="00903BCB">
              <w:rPr>
                <w:rFonts w:eastAsia="Times New Roman"/>
                <w:color w:val="000000"/>
                <w:sz w:val="24"/>
                <w:szCs w:val="24"/>
              </w:rPr>
              <w:t xml:space="preserve">spread of epidemics among people. </w:t>
            </w:r>
          </w:p>
        </w:tc>
        <w:tc>
          <w:tcPr>
            <w:tcW w:w="1760" w:type="dxa"/>
            <w:tcBorders>
              <w:top w:val="nil"/>
              <w:left w:val="nil"/>
              <w:bottom w:val="nil"/>
              <w:right w:val="single" w:sz="8" w:space="0" w:color="auto"/>
            </w:tcBorders>
            <w:shd w:val="clear" w:color="auto" w:fill="auto"/>
            <w:vAlign w:val="center"/>
            <w:hideMark/>
          </w:tcPr>
          <w:p w14:paraId="762BD643"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25F5A5B0" w14:textId="77777777" w:rsidTr="00480462">
        <w:trPr>
          <w:trHeight w:val="840"/>
        </w:trPr>
        <w:tc>
          <w:tcPr>
            <w:tcW w:w="2180" w:type="dxa"/>
            <w:vMerge/>
            <w:tcBorders>
              <w:left w:val="single" w:sz="4" w:space="0" w:color="auto"/>
              <w:bottom w:val="single" w:sz="4" w:space="0" w:color="auto"/>
              <w:right w:val="single" w:sz="4" w:space="0" w:color="auto"/>
            </w:tcBorders>
            <w:vAlign w:val="center"/>
            <w:hideMark/>
          </w:tcPr>
          <w:p w14:paraId="29B0B8EC"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7BB300F6" w14:textId="485DFC3D"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18. Cemeteries: Establish, cancel and monitor cemeteries and designate their locations and specifications; transport and bury the de</w:t>
            </w:r>
            <w:r w:rsidR="00D74F5D" w:rsidRPr="00903BCB">
              <w:rPr>
                <w:rFonts w:eastAsia="Times New Roman"/>
                <w:color w:val="000000"/>
                <w:sz w:val="24"/>
                <w:szCs w:val="24"/>
              </w:rPr>
              <w:t>ceased</w:t>
            </w:r>
            <w:r w:rsidRPr="00903BCB">
              <w:rPr>
                <w:rFonts w:eastAsia="Times New Roman"/>
                <w:color w:val="000000"/>
                <w:sz w:val="24"/>
                <w:szCs w:val="24"/>
              </w:rPr>
              <w:t xml:space="preserve">; regulate funerals and maintain the sanctity of the graves. </w:t>
            </w:r>
          </w:p>
        </w:tc>
        <w:tc>
          <w:tcPr>
            <w:tcW w:w="1760" w:type="dxa"/>
            <w:tcBorders>
              <w:top w:val="nil"/>
              <w:left w:val="nil"/>
              <w:bottom w:val="nil"/>
              <w:right w:val="single" w:sz="8" w:space="0" w:color="auto"/>
            </w:tcBorders>
            <w:shd w:val="clear" w:color="auto" w:fill="auto"/>
            <w:vAlign w:val="center"/>
            <w:hideMark/>
          </w:tcPr>
          <w:p w14:paraId="1D38C54C"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3E2876DA"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5BE229CD"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0E6A87A6" w14:textId="16BB40E4"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19. Hazard prevention: Take necessary precautions to protect people and property and prevent damages and harmful effects resulting from any activity mentioned in this article. </w:t>
            </w:r>
          </w:p>
        </w:tc>
        <w:tc>
          <w:tcPr>
            <w:tcW w:w="1760" w:type="dxa"/>
            <w:tcBorders>
              <w:top w:val="nil"/>
              <w:left w:val="nil"/>
              <w:bottom w:val="nil"/>
              <w:right w:val="single" w:sz="8" w:space="0" w:color="auto"/>
            </w:tcBorders>
            <w:shd w:val="clear" w:color="auto" w:fill="auto"/>
            <w:vAlign w:val="center"/>
            <w:hideMark/>
          </w:tcPr>
          <w:p w14:paraId="27E2AD8B"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216550BB"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31645C5E"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72384D73"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20. Vendors and kiosks: Monitor and regulate vendors, mobile photographers, porters, shoe polishers and kiosks. </w:t>
            </w:r>
          </w:p>
        </w:tc>
        <w:tc>
          <w:tcPr>
            <w:tcW w:w="1760" w:type="dxa"/>
            <w:tcBorders>
              <w:top w:val="nil"/>
              <w:left w:val="nil"/>
              <w:bottom w:val="nil"/>
              <w:right w:val="single" w:sz="8" w:space="0" w:color="auto"/>
            </w:tcBorders>
            <w:shd w:val="clear" w:color="auto" w:fill="auto"/>
            <w:vAlign w:val="center"/>
            <w:hideMark/>
          </w:tcPr>
          <w:p w14:paraId="750023AB"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42154631" w14:textId="77777777" w:rsidTr="00480462">
        <w:trPr>
          <w:trHeight w:val="300"/>
        </w:trPr>
        <w:tc>
          <w:tcPr>
            <w:tcW w:w="2180" w:type="dxa"/>
            <w:vMerge/>
            <w:tcBorders>
              <w:left w:val="single" w:sz="4" w:space="0" w:color="auto"/>
              <w:bottom w:val="single" w:sz="4" w:space="0" w:color="auto"/>
              <w:right w:val="single" w:sz="4" w:space="0" w:color="auto"/>
            </w:tcBorders>
            <w:vAlign w:val="center"/>
            <w:hideMark/>
          </w:tcPr>
          <w:p w14:paraId="46D6E848"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3D99DD89"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21. Advertisements: License and monitor signs and advertisements. </w:t>
            </w:r>
          </w:p>
        </w:tc>
        <w:tc>
          <w:tcPr>
            <w:tcW w:w="1760" w:type="dxa"/>
            <w:tcBorders>
              <w:top w:val="nil"/>
              <w:left w:val="nil"/>
              <w:bottom w:val="nil"/>
              <w:right w:val="single" w:sz="8" w:space="0" w:color="auto"/>
            </w:tcBorders>
            <w:shd w:val="clear" w:color="auto" w:fill="auto"/>
            <w:vAlign w:val="center"/>
            <w:hideMark/>
          </w:tcPr>
          <w:p w14:paraId="52D4A045"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44706656" w14:textId="77777777" w:rsidTr="00480462">
        <w:trPr>
          <w:trHeight w:val="840"/>
        </w:trPr>
        <w:tc>
          <w:tcPr>
            <w:tcW w:w="2180" w:type="dxa"/>
            <w:vMerge/>
            <w:tcBorders>
              <w:left w:val="single" w:sz="4" w:space="0" w:color="auto"/>
              <w:bottom w:val="single" w:sz="4" w:space="0" w:color="auto"/>
              <w:right w:val="single" w:sz="4" w:space="0" w:color="auto"/>
            </w:tcBorders>
            <w:vAlign w:val="center"/>
            <w:hideMark/>
          </w:tcPr>
          <w:p w14:paraId="45329872"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410F34AA" w14:textId="28740103"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22. Demolition of buildings likely to collapse: Demolish buildings which are likely to collapse, which are harmful to public health and safety, or which emanate harmful </w:t>
            </w:r>
            <w:r w:rsidR="002C7E95" w:rsidRPr="00903BCB">
              <w:rPr>
                <w:rFonts w:eastAsia="Times New Roman"/>
                <w:color w:val="000000"/>
                <w:sz w:val="24"/>
                <w:szCs w:val="24"/>
              </w:rPr>
              <w:t>odors</w:t>
            </w:r>
            <w:r w:rsidR="00D74F5D" w:rsidRPr="00903BCB">
              <w:rPr>
                <w:rFonts w:eastAsia="Times New Roman"/>
                <w:color w:val="000000"/>
                <w:sz w:val="24"/>
                <w:szCs w:val="24"/>
              </w:rPr>
              <w:t>,</w:t>
            </w:r>
            <w:r w:rsidRPr="00903BCB">
              <w:rPr>
                <w:rFonts w:eastAsia="Times New Roman"/>
                <w:color w:val="000000"/>
                <w:sz w:val="24"/>
                <w:szCs w:val="24"/>
              </w:rPr>
              <w:t xml:space="preserve"> after warning their owner</w:t>
            </w:r>
            <w:r w:rsidR="00D74F5D" w:rsidRPr="00903BCB">
              <w:rPr>
                <w:rFonts w:eastAsia="Times New Roman"/>
                <w:color w:val="000000"/>
                <w:sz w:val="24"/>
                <w:szCs w:val="24"/>
              </w:rPr>
              <w:t xml:space="preserve"> or</w:t>
            </w:r>
            <w:r w:rsidRPr="00903BCB">
              <w:rPr>
                <w:rFonts w:eastAsia="Times New Roman"/>
                <w:color w:val="000000"/>
                <w:sz w:val="24"/>
                <w:szCs w:val="24"/>
              </w:rPr>
              <w:t xml:space="preserve"> occupant. </w:t>
            </w:r>
          </w:p>
        </w:tc>
        <w:tc>
          <w:tcPr>
            <w:tcW w:w="1760" w:type="dxa"/>
            <w:tcBorders>
              <w:top w:val="nil"/>
              <w:left w:val="nil"/>
              <w:bottom w:val="nil"/>
              <w:right w:val="single" w:sz="8" w:space="0" w:color="auto"/>
            </w:tcBorders>
            <w:shd w:val="clear" w:color="auto" w:fill="auto"/>
            <w:vAlign w:val="center"/>
            <w:hideMark/>
          </w:tcPr>
          <w:p w14:paraId="7F644322"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167A093E" w14:textId="77777777" w:rsidTr="00480462">
        <w:trPr>
          <w:trHeight w:val="300"/>
        </w:trPr>
        <w:tc>
          <w:tcPr>
            <w:tcW w:w="2180" w:type="dxa"/>
            <w:vMerge/>
            <w:tcBorders>
              <w:left w:val="single" w:sz="4" w:space="0" w:color="auto"/>
              <w:bottom w:val="single" w:sz="4" w:space="0" w:color="auto"/>
              <w:right w:val="single" w:sz="4" w:space="0" w:color="auto"/>
            </w:tcBorders>
            <w:vAlign w:val="center"/>
            <w:hideMark/>
          </w:tcPr>
          <w:p w14:paraId="2712DC2B"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199518D1"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23. Platform scales: Weigh items sold wholesale outside shops and stores. </w:t>
            </w:r>
          </w:p>
        </w:tc>
        <w:tc>
          <w:tcPr>
            <w:tcW w:w="1760" w:type="dxa"/>
            <w:tcBorders>
              <w:top w:val="nil"/>
              <w:left w:val="nil"/>
              <w:bottom w:val="nil"/>
              <w:right w:val="single" w:sz="8" w:space="0" w:color="auto"/>
            </w:tcBorders>
            <w:shd w:val="clear" w:color="auto" w:fill="auto"/>
            <w:vAlign w:val="center"/>
            <w:hideMark/>
          </w:tcPr>
          <w:p w14:paraId="07E5D070"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1C9C5399" w14:textId="77777777" w:rsidTr="00480462">
        <w:trPr>
          <w:trHeight w:val="300"/>
        </w:trPr>
        <w:tc>
          <w:tcPr>
            <w:tcW w:w="2180" w:type="dxa"/>
            <w:vMerge/>
            <w:tcBorders>
              <w:left w:val="single" w:sz="4" w:space="0" w:color="auto"/>
              <w:bottom w:val="single" w:sz="4" w:space="0" w:color="auto"/>
              <w:right w:val="single" w:sz="4" w:space="0" w:color="auto"/>
            </w:tcBorders>
            <w:vAlign w:val="center"/>
            <w:hideMark/>
          </w:tcPr>
          <w:p w14:paraId="62C15DF9"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2F3EFA1E" w14:textId="05578B96"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24. Leftover roads: Sell or utilize leftovers of roads.</w:t>
            </w:r>
          </w:p>
        </w:tc>
        <w:tc>
          <w:tcPr>
            <w:tcW w:w="1760" w:type="dxa"/>
            <w:tcBorders>
              <w:top w:val="nil"/>
              <w:left w:val="nil"/>
              <w:bottom w:val="nil"/>
              <w:right w:val="single" w:sz="8" w:space="0" w:color="auto"/>
            </w:tcBorders>
            <w:shd w:val="clear" w:color="auto" w:fill="auto"/>
            <w:vAlign w:val="center"/>
            <w:hideMark/>
          </w:tcPr>
          <w:p w14:paraId="1E0E1084"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2582D8BA"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343FDE8A"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11491254" w14:textId="0A92B583"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25. Dogs: Monitor dogs, exterminate stray dogs, take preventive measures against their hazards, and</w:t>
            </w:r>
            <w:r w:rsidR="00D74F5D" w:rsidRPr="00903BCB">
              <w:rPr>
                <w:rFonts w:eastAsia="Times New Roman"/>
                <w:color w:val="000000"/>
                <w:sz w:val="24"/>
                <w:szCs w:val="24"/>
              </w:rPr>
              <w:t xml:space="preserve"> issue</w:t>
            </w:r>
            <w:r w:rsidRPr="00903BCB">
              <w:rPr>
                <w:rFonts w:eastAsia="Times New Roman"/>
                <w:color w:val="000000"/>
                <w:sz w:val="24"/>
                <w:szCs w:val="24"/>
              </w:rPr>
              <w:t xml:space="preserve"> license</w:t>
            </w:r>
            <w:r w:rsidR="00D74F5D" w:rsidRPr="00903BCB">
              <w:rPr>
                <w:rFonts w:eastAsia="Times New Roman"/>
                <w:color w:val="000000"/>
                <w:sz w:val="24"/>
                <w:szCs w:val="24"/>
              </w:rPr>
              <w:t>s</w:t>
            </w:r>
            <w:r w:rsidRPr="00903BCB">
              <w:rPr>
                <w:rFonts w:eastAsia="Times New Roman"/>
                <w:color w:val="000000"/>
                <w:sz w:val="24"/>
                <w:szCs w:val="24"/>
              </w:rPr>
              <w:t xml:space="preserve">. </w:t>
            </w:r>
          </w:p>
        </w:tc>
        <w:tc>
          <w:tcPr>
            <w:tcW w:w="1760" w:type="dxa"/>
            <w:tcBorders>
              <w:top w:val="nil"/>
              <w:left w:val="nil"/>
              <w:bottom w:val="nil"/>
              <w:right w:val="single" w:sz="8" w:space="0" w:color="auto"/>
            </w:tcBorders>
            <w:shd w:val="clear" w:color="auto" w:fill="auto"/>
            <w:vAlign w:val="center"/>
            <w:hideMark/>
          </w:tcPr>
          <w:p w14:paraId="3B50CADA"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36C6DC91"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27C10EA5"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345B96D3"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26. Sumpters (Pack animals): Monitor animals used for carrying or towing, assign markets for selling animals and livestock and forbid their sale outside such markets. </w:t>
            </w:r>
          </w:p>
        </w:tc>
        <w:tc>
          <w:tcPr>
            <w:tcW w:w="1760" w:type="dxa"/>
            <w:tcBorders>
              <w:top w:val="nil"/>
              <w:left w:val="nil"/>
              <w:bottom w:val="nil"/>
              <w:right w:val="single" w:sz="8" w:space="0" w:color="auto"/>
            </w:tcBorders>
            <w:shd w:val="clear" w:color="auto" w:fill="auto"/>
            <w:vAlign w:val="center"/>
            <w:hideMark/>
          </w:tcPr>
          <w:p w14:paraId="38B5F00C"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341F35B3" w14:textId="77777777" w:rsidTr="00480462">
        <w:trPr>
          <w:trHeight w:val="560"/>
        </w:trPr>
        <w:tc>
          <w:tcPr>
            <w:tcW w:w="2180" w:type="dxa"/>
            <w:vMerge/>
            <w:tcBorders>
              <w:left w:val="single" w:sz="4" w:space="0" w:color="auto"/>
              <w:bottom w:val="single" w:sz="4" w:space="0" w:color="auto"/>
              <w:right w:val="single" w:sz="4" w:space="0" w:color="auto"/>
            </w:tcBorders>
            <w:vAlign w:val="center"/>
            <w:hideMark/>
          </w:tcPr>
          <w:p w14:paraId="06088936"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10848AA0"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 xml:space="preserve">27. Budget, closing account and cadre: Approve the annual budget, the closing account and cadre before sending them for endorsement verification. </w:t>
            </w:r>
          </w:p>
        </w:tc>
        <w:tc>
          <w:tcPr>
            <w:tcW w:w="1760" w:type="dxa"/>
            <w:tcBorders>
              <w:top w:val="nil"/>
              <w:left w:val="nil"/>
              <w:bottom w:val="nil"/>
              <w:right w:val="single" w:sz="8" w:space="0" w:color="auto"/>
            </w:tcBorders>
            <w:shd w:val="clear" w:color="auto" w:fill="auto"/>
            <w:vAlign w:val="center"/>
            <w:hideMark/>
          </w:tcPr>
          <w:p w14:paraId="47C6E3D5"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6165CF50" w14:textId="77777777" w:rsidTr="00480462">
        <w:trPr>
          <w:trHeight w:val="840"/>
        </w:trPr>
        <w:tc>
          <w:tcPr>
            <w:tcW w:w="2180" w:type="dxa"/>
            <w:vMerge/>
            <w:tcBorders>
              <w:left w:val="single" w:sz="4" w:space="0" w:color="auto"/>
              <w:bottom w:val="single" w:sz="4" w:space="0" w:color="auto"/>
              <w:right w:val="single" w:sz="4" w:space="0" w:color="auto"/>
            </w:tcBorders>
            <w:vAlign w:val="center"/>
            <w:hideMark/>
          </w:tcPr>
          <w:p w14:paraId="2C5BED45"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nil"/>
              <w:right w:val="single" w:sz="8" w:space="0" w:color="auto"/>
            </w:tcBorders>
            <w:shd w:val="clear" w:color="auto" w:fill="auto"/>
            <w:vAlign w:val="center"/>
            <w:hideMark/>
          </w:tcPr>
          <w:p w14:paraId="5DAA305A" w14:textId="6D149B20"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28. Dispo</w:t>
            </w:r>
            <w:r w:rsidR="00D74F5D" w:rsidRPr="00903BCB">
              <w:rPr>
                <w:rFonts w:eastAsia="Times New Roman"/>
                <w:color w:val="000000"/>
                <w:sz w:val="24"/>
                <w:szCs w:val="24"/>
              </w:rPr>
              <w:t>sal</w:t>
            </w:r>
            <w:r w:rsidRPr="00903BCB">
              <w:rPr>
                <w:rFonts w:eastAsia="Times New Roman"/>
                <w:color w:val="000000"/>
                <w:sz w:val="24"/>
                <w:szCs w:val="24"/>
              </w:rPr>
              <w:t xml:space="preserve"> of municipality property: Manage municipality property and monies; construct the required buildings there</w:t>
            </w:r>
            <w:r w:rsidR="00D74F5D" w:rsidRPr="00903BCB">
              <w:rPr>
                <w:rFonts w:eastAsia="Times New Roman"/>
                <w:color w:val="000000"/>
                <w:sz w:val="24"/>
                <w:szCs w:val="24"/>
              </w:rPr>
              <w:t>in</w:t>
            </w:r>
            <w:r w:rsidRPr="00903BCB">
              <w:rPr>
                <w:rFonts w:eastAsia="Times New Roman"/>
                <w:color w:val="000000"/>
                <w:sz w:val="24"/>
                <w:szCs w:val="24"/>
              </w:rPr>
              <w:t>; lease, mortgage, sell and buy others under the terms of this law; accept grants, wills and donations.</w:t>
            </w:r>
          </w:p>
        </w:tc>
        <w:tc>
          <w:tcPr>
            <w:tcW w:w="1760" w:type="dxa"/>
            <w:tcBorders>
              <w:top w:val="nil"/>
              <w:left w:val="nil"/>
              <w:bottom w:val="nil"/>
              <w:right w:val="single" w:sz="8" w:space="0" w:color="auto"/>
            </w:tcBorders>
            <w:shd w:val="clear" w:color="auto" w:fill="auto"/>
            <w:vAlign w:val="center"/>
            <w:hideMark/>
          </w:tcPr>
          <w:p w14:paraId="650DE70D"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r w:rsidR="00F214DB" w:rsidRPr="00903BCB" w14:paraId="0064CB3C" w14:textId="77777777" w:rsidTr="00480462">
        <w:trPr>
          <w:trHeight w:val="580"/>
        </w:trPr>
        <w:tc>
          <w:tcPr>
            <w:tcW w:w="2180" w:type="dxa"/>
            <w:vMerge/>
            <w:tcBorders>
              <w:left w:val="single" w:sz="4" w:space="0" w:color="auto"/>
              <w:bottom w:val="single" w:sz="4" w:space="0" w:color="auto"/>
              <w:right w:val="single" w:sz="4" w:space="0" w:color="auto"/>
            </w:tcBorders>
            <w:vAlign w:val="center"/>
            <w:hideMark/>
          </w:tcPr>
          <w:p w14:paraId="19CF17FE" w14:textId="77777777" w:rsidR="00F214DB" w:rsidRPr="00903BCB" w:rsidRDefault="00F214DB" w:rsidP="00F214DB">
            <w:pPr>
              <w:autoSpaceDE/>
              <w:autoSpaceDN/>
              <w:adjustRightInd/>
              <w:ind w:left="0" w:right="0"/>
              <w:jc w:val="left"/>
              <w:rPr>
                <w:rFonts w:eastAsia="Times New Roman"/>
                <w:color w:val="000000"/>
                <w:sz w:val="24"/>
                <w:szCs w:val="24"/>
              </w:rPr>
            </w:pPr>
          </w:p>
        </w:tc>
        <w:tc>
          <w:tcPr>
            <w:tcW w:w="8840" w:type="dxa"/>
            <w:tcBorders>
              <w:top w:val="nil"/>
              <w:left w:val="single" w:sz="4" w:space="0" w:color="auto"/>
              <w:bottom w:val="single" w:sz="8" w:space="0" w:color="auto"/>
              <w:right w:val="single" w:sz="8" w:space="0" w:color="auto"/>
            </w:tcBorders>
            <w:shd w:val="clear" w:color="auto" w:fill="auto"/>
            <w:vAlign w:val="center"/>
            <w:hideMark/>
          </w:tcPr>
          <w:p w14:paraId="38D81C47" w14:textId="77777777" w:rsidR="00F214DB" w:rsidRPr="00903BCB" w:rsidRDefault="00F214DB" w:rsidP="00F214DB">
            <w:pPr>
              <w:autoSpaceDE/>
              <w:autoSpaceDN/>
              <w:adjustRightInd/>
              <w:ind w:left="0" w:right="0"/>
              <w:jc w:val="left"/>
              <w:rPr>
                <w:rFonts w:eastAsia="Times New Roman"/>
                <w:color w:val="000000"/>
                <w:sz w:val="24"/>
                <w:szCs w:val="24"/>
              </w:rPr>
            </w:pPr>
            <w:r w:rsidRPr="00903BCB">
              <w:rPr>
                <w:rFonts w:eastAsia="Times New Roman"/>
                <w:color w:val="000000"/>
                <w:sz w:val="24"/>
                <w:szCs w:val="24"/>
              </w:rPr>
              <w:t>29. Other functions: Carry out any other work required by it under this law or any other legislation in effect in the Kingdom.</w:t>
            </w:r>
          </w:p>
        </w:tc>
        <w:tc>
          <w:tcPr>
            <w:tcW w:w="1760" w:type="dxa"/>
            <w:tcBorders>
              <w:top w:val="nil"/>
              <w:left w:val="nil"/>
              <w:bottom w:val="single" w:sz="8" w:space="0" w:color="auto"/>
              <w:right w:val="single" w:sz="8" w:space="0" w:color="auto"/>
            </w:tcBorders>
            <w:shd w:val="clear" w:color="auto" w:fill="auto"/>
            <w:vAlign w:val="center"/>
            <w:hideMark/>
          </w:tcPr>
          <w:p w14:paraId="55C1A1B0" w14:textId="77777777" w:rsidR="00F214DB" w:rsidRPr="00903BCB" w:rsidRDefault="00F214DB" w:rsidP="00F214DB">
            <w:pPr>
              <w:autoSpaceDE/>
              <w:autoSpaceDN/>
              <w:adjustRightInd/>
              <w:ind w:left="0" w:right="0"/>
              <w:rPr>
                <w:rFonts w:eastAsia="Times New Roman"/>
                <w:color w:val="000000"/>
                <w:sz w:val="24"/>
                <w:szCs w:val="24"/>
              </w:rPr>
            </w:pPr>
            <w:r w:rsidRPr="00903BCB">
              <w:rPr>
                <w:rFonts w:eastAsia="Times New Roman"/>
                <w:color w:val="000000"/>
                <w:sz w:val="24"/>
                <w:szCs w:val="24"/>
              </w:rPr>
              <w:t> </w:t>
            </w:r>
          </w:p>
        </w:tc>
      </w:tr>
    </w:tbl>
    <w:p w14:paraId="35D57EA9" w14:textId="77777777" w:rsidR="00841401" w:rsidRPr="00903BCB" w:rsidRDefault="002C7E95" w:rsidP="008F4B46">
      <w:pPr>
        <w:spacing w:after="240"/>
        <w:ind w:left="0" w:right="0"/>
        <w:jc w:val="left"/>
        <w:rPr>
          <w:sz w:val="24"/>
          <w:szCs w:val="24"/>
        </w:rPr>
      </w:pPr>
      <w:r w:rsidRPr="00903BCB">
        <w:rPr>
          <w:sz w:val="24"/>
          <w:szCs w:val="24"/>
        </w:rPr>
        <w:t>Source</w:t>
      </w:r>
      <w:r w:rsidR="00ED5E0A" w:rsidRPr="00903BCB">
        <w:rPr>
          <w:sz w:val="24"/>
          <w:szCs w:val="24"/>
        </w:rPr>
        <w:t xml:space="preserve">: </w:t>
      </w:r>
      <w:r w:rsidR="00ED5E0A" w:rsidRPr="00903BCB">
        <w:rPr>
          <w:sz w:val="24"/>
          <w:szCs w:val="24"/>
          <w:lang w:bidi="ar-JO"/>
        </w:rPr>
        <w:t>MOMA (2007).</w:t>
      </w:r>
    </w:p>
    <w:p w14:paraId="5A68E645" w14:textId="77777777" w:rsidR="00AB4828" w:rsidRPr="00903BCB" w:rsidRDefault="00AB4828" w:rsidP="008F4B46">
      <w:pPr>
        <w:spacing w:after="240"/>
        <w:ind w:left="0" w:right="0"/>
        <w:jc w:val="left"/>
        <w:rPr>
          <w:sz w:val="24"/>
          <w:szCs w:val="24"/>
        </w:rPr>
      </w:pPr>
    </w:p>
    <w:p w14:paraId="0556DB3B" w14:textId="77777777" w:rsidR="00AB4828" w:rsidRPr="00903BCB" w:rsidRDefault="00AB4828" w:rsidP="00AB4828">
      <w:pPr>
        <w:spacing w:line="360" w:lineRule="auto"/>
        <w:ind w:left="0" w:right="0"/>
        <w:rPr>
          <w:sz w:val="24"/>
          <w:szCs w:val="24"/>
        </w:rPr>
      </w:pPr>
    </w:p>
    <w:p w14:paraId="70252B11" w14:textId="77777777" w:rsidR="00AB4828" w:rsidRPr="00903BCB" w:rsidRDefault="00AB4828" w:rsidP="00AB4828">
      <w:pPr>
        <w:ind w:left="0" w:right="0"/>
        <w:jc w:val="left"/>
        <w:rPr>
          <w:sz w:val="24"/>
          <w:szCs w:val="24"/>
        </w:rPr>
        <w:sectPr w:rsidR="00AB4828" w:rsidRPr="00903BCB" w:rsidSect="00723B6A">
          <w:headerReference w:type="default" r:id="rId21"/>
          <w:footerReference w:type="default" r:id="rId22"/>
          <w:pgSz w:w="15840" w:h="12240" w:orient="landscape" w:code="1"/>
          <w:pgMar w:top="1440" w:right="1440" w:bottom="1440" w:left="1440" w:header="720" w:footer="720" w:gutter="0"/>
          <w:cols w:space="720"/>
          <w:docGrid w:linePitch="360"/>
        </w:sectPr>
      </w:pPr>
    </w:p>
    <w:p w14:paraId="5CF213B3" w14:textId="77777777" w:rsidR="00AB4828" w:rsidRPr="00903BCB" w:rsidRDefault="00AB4828" w:rsidP="00AB4828">
      <w:pPr>
        <w:ind w:left="0" w:right="0"/>
        <w:jc w:val="center"/>
        <w:rPr>
          <w:b/>
          <w:sz w:val="24"/>
          <w:szCs w:val="24"/>
        </w:rPr>
      </w:pPr>
      <w:r w:rsidRPr="00903BCB">
        <w:rPr>
          <w:b/>
          <w:sz w:val="24"/>
          <w:szCs w:val="24"/>
        </w:rPr>
        <w:t>References</w:t>
      </w:r>
    </w:p>
    <w:p w14:paraId="4DEAA2DA" w14:textId="77777777" w:rsidR="00AB4828" w:rsidRPr="00903BCB" w:rsidRDefault="00AB4828" w:rsidP="00AB4828">
      <w:pPr>
        <w:ind w:left="0" w:right="0"/>
        <w:jc w:val="center"/>
        <w:rPr>
          <w:b/>
          <w:sz w:val="24"/>
          <w:szCs w:val="24"/>
        </w:rPr>
      </w:pPr>
    </w:p>
    <w:p w14:paraId="4F945421" w14:textId="31471A1E" w:rsidR="00F70A55" w:rsidRPr="00903BCB" w:rsidRDefault="00F70A55" w:rsidP="00F70A55">
      <w:pPr>
        <w:spacing w:after="240"/>
        <w:ind w:left="720" w:right="0" w:hanging="720"/>
        <w:jc w:val="left"/>
        <w:rPr>
          <w:sz w:val="24"/>
          <w:szCs w:val="24"/>
        </w:rPr>
      </w:pPr>
      <w:r w:rsidRPr="00903BCB">
        <w:rPr>
          <w:sz w:val="24"/>
          <w:szCs w:val="24"/>
        </w:rPr>
        <w:t>Allers, M. and Ishemoi, L. 2011. </w:t>
      </w:r>
      <w:hyperlink r:id="rId23" w:history="1">
        <w:r w:rsidRPr="00903BCB">
          <w:rPr>
            <w:bCs/>
            <w:sz w:val="24"/>
            <w:szCs w:val="24"/>
          </w:rPr>
          <w:t>Do Formulas Reduce Political Influence on Intergovernmental Grants? Evidence from Tanzania</w:t>
        </w:r>
      </w:hyperlink>
      <w:r w:rsidRPr="00903BCB">
        <w:rPr>
          <w:sz w:val="24"/>
          <w:szCs w:val="24"/>
        </w:rPr>
        <w:t>.</w:t>
      </w:r>
      <w:r w:rsidRPr="00903BCB">
        <w:rPr>
          <w:bCs/>
          <w:sz w:val="24"/>
          <w:szCs w:val="24"/>
        </w:rPr>
        <w:t xml:space="preserve"> </w:t>
      </w:r>
      <w:hyperlink r:id="rId24" w:history="1">
        <w:r w:rsidRPr="00903BCB">
          <w:rPr>
            <w:i/>
            <w:sz w:val="24"/>
            <w:szCs w:val="24"/>
          </w:rPr>
          <w:t>The Journal of Development Studies</w:t>
        </w:r>
        <w:r w:rsidRPr="00903BCB">
          <w:rPr>
            <w:sz w:val="24"/>
            <w:szCs w:val="24"/>
          </w:rPr>
          <w:t> </w:t>
        </w:r>
      </w:hyperlink>
      <w:r w:rsidRPr="00903BCB">
        <w:rPr>
          <w:sz w:val="24"/>
          <w:szCs w:val="24"/>
        </w:rPr>
        <w:t>47</w:t>
      </w:r>
      <w:r w:rsidRPr="00903BCB">
        <w:rPr>
          <w:i/>
          <w:sz w:val="24"/>
          <w:szCs w:val="24"/>
        </w:rPr>
        <w:t>(12)</w:t>
      </w:r>
      <w:r w:rsidRPr="00903BCB">
        <w:rPr>
          <w:sz w:val="24"/>
          <w:szCs w:val="24"/>
        </w:rPr>
        <w:t>: 1781-1797.</w:t>
      </w:r>
    </w:p>
    <w:p w14:paraId="24CC603A" w14:textId="7CCAC94F" w:rsidR="00F70A55" w:rsidRPr="00903BCB" w:rsidRDefault="00F70A55" w:rsidP="00AB4828">
      <w:pPr>
        <w:spacing w:after="240"/>
        <w:ind w:left="720" w:right="0" w:hanging="720"/>
        <w:jc w:val="left"/>
        <w:rPr>
          <w:i/>
          <w:iCs/>
          <w:sz w:val="24"/>
          <w:szCs w:val="24"/>
        </w:rPr>
      </w:pPr>
      <w:r w:rsidRPr="00903BCB">
        <w:rPr>
          <w:sz w:val="24"/>
          <w:szCs w:val="24"/>
        </w:rPr>
        <w:t xml:space="preserve">Anwar, S., and Shen, C. 2006. Fine Tuning the Intergovernmental Transfer System to Achieve a Harmonious Society and a Level Playing Field for Regional Development in China. </w:t>
      </w:r>
      <w:r w:rsidRPr="00903BCB">
        <w:rPr>
          <w:i/>
          <w:sz w:val="24"/>
          <w:szCs w:val="24"/>
        </w:rPr>
        <w:t xml:space="preserve">The World Bank, </w:t>
      </w:r>
      <w:r w:rsidRPr="00903BCB">
        <w:rPr>
          <w:sz w:val="24"/>
          <w:szCs w:val="24"/>
        </w:rPr>
        <w:t>Washington: DC</w:t>
      </w:r>
      <w:r w:rsidR="00624700" w:rsidRPr="00903BCB">
        <w:rPr>
          <w:sz w:val="24"/>
          <w:szCs w:val="24"/>
        </w:rPr>
        <w:t>.</w:t>
      </w:r>
    </w:p>
    <w:p w14:paraId="01D24651" w14:textId="0A99DF6D" w:rsidR="00AB4828" w:rsidRPr="00903BCB" w:rsidRDefault="00AB4828" w:rsidP="00AB4828">
      <w:pPr>
        <w:spacing w:after="240"/>
        <w:ind w:left="720" w:right="0" w:hanging="720"/>
        <w:rPr>
          <w:bCs/>
          <w:sz w:val="24"/>
          <w:szCs w:val="24"/>
        </w:rPr>
      </w:pPr>
      <w:r w:rsidRPr="00903BCB">
        <w:rPr>
          <w:bCs/>
          <w:sz w:val="24"/>
          <w:szCs w:val="24"/>
        </w:rPr>
        <w:t xml:space="preserve">Bahl, R. 2000. Intergovernmental Transfers in Developing and Transition Countries: Principles and Practice. </w:t>
      </w:r>
      <w:r w:rsidRPr="00903BCB">
        <w:rPr>
          <w:bCs/>
          <w:i/>
          <w:sz w:val="24"/>
          <w:szCs w:val="24"/>
        </w:rPr>
        <w:t>Urban &amp; Local Government: Municipal Finance, Background Series</w:t>
      </w:r>
      <w:r w:rsidRPr="00903BCB">
        <w:rPr>
          <w:bCs/>
          <w:sz w:val="24"/>
          <w:szCs w:val="24"/>
        </w:rPr>
        <w:t>.</w:t>
      </w:r>
      <w:r w:rsidRPr="00903BCB">
        <w:rPr>
          <w:bCs/>
          <w:i/>
          <w:sz w:val="24"/>
          <w:szCs w:val="24"/>
        </w:rPr>
        <w:t xml:space="preserve"> The World Bank</w:t>
      </w:r>
      <w:r w:rsidRPr="00903BCB">
        <w:rPr>
          <w:bCs/>
          <w:sz w:val="24"/>
          <w:szCs w:val="24"/>
        </w:rPr>
        <w:t xml:space="preserve">, </w:t>
      </w:r>
      <w:r w:rsidRPr="00903BCB">
        <w:rPr>
          <w:sz w:val="24"/>
          <w:szCs w:val="24"/>
        </w:rPr>
        <w:t>Washington: DC</w:t>
      </w:r>
      <w:r w:rsidR="00624700" w:rsidRPr="00903BCB">
        <w:rPr>
          <w:sz w:val="24"/>
          <w:szCs w:val="24"/>
        </w:rPr>
        <w:t>.</w:t>
      </w:r>
    </w:p>
    <w:p w14:paraId="7AE0377C" w14:textId="77777777" w:rsidR="00AB4828" w:rsidRPr="00903BCB" w:rsidRDefault="00AB4828" w:rsidP="00AB4828">
      <w:pPr>
        <w:spacing w:after="240"/>
        <w:ind w:left="720" w:right="0" w:hanging="720"/>
        <w:jc w:val="left"/>
        <w:rPr>
          <w:sz w:val="24"/>
          <w:szCs w:val="24"/>
        </w:rPr>
      </w:pPr>
      <w:r w:rsidRPr="00903BCB">
        <w:rPr>
          <w:sz w:val="24"/>
          <w:szCs w:val="24"/>
        </w:rPr>
        <w:t xml:space="preserve">Baker, K., and Camm, J. 2005. </w:t>
      </w:r>
      <w:r w:rsidRPr="00903BCB">
        <w:rPr>
          <w:iCs/>
          <w:sz w:val="24"/>
          <w:szCs w:val="24"/>
        </w:rPr>
        <w:t xml:space="preserve">On the Use of Integer Programming versus Evolutionary Solver in Spreadsheet Optimization. </w:t>
      </w:r>
      <w:r w:rsidRPr="00903BCB">
        <w:rPr>
          <w:i/>
          <w:sz w:val="24"/>
          <w:szCs w:val="24"/>
        </w:rPr>
        <w:t xml:space="preserve">Transactions on Education. </w:t>
      </w:r>
      <w:r w:rsidRPr="00903BCB">
        <w:rPr>
          <w:sz w:val="24"/>
          <w:szCs w:val="24"/>
        </w:rPr>
        <w:t>5</w:t>
      </w:r>
      <w:r w:rsidRPr="00903BCB">
        <w:rPr>
          <w:i/>
          <w:sz w:val="24"/>
          <w:szCs w:val="24"/>
        </w:rPr>
        <w:t>(3)</w:t>
      </w:r>
      <w:r w:rsidRPr="00903BCB">
        <w:rPr>
          <w:sz w:val="24"/>
          <w:szCs w:val="24"/>
        </w:rPr>
        <w:t>: 1–7.</w:t>
      </w:r>
    </w:p>
    <w:p w14:paraId="09780293" w14:textId="2469756E" w:rsidR="00624700" w:rsidRPr="00903BCB" w:rsidRDefault="00F25273" w:rsidP="00AB4828">
      <w:pPr>
        <w:spacing w:after="240"/>
        <w:ind w:left="720" w:right="0" w:hanging="720"/>
        <w:jc w:val="left"/>
        <w:rPr>
          <w:i/>
          <w:iCs/>
          <w:sz w:val="24"/>
          <w:szCs w:val="24"/>
        </w:rPr>
      </w:pPr>
      <w:hyperlink r:id="rId25" w:history="1">
        <w:r w:rsidR="00624700" w:rsidRPr="00903BCB">
          <w:rPr>
            <w:rFonts w:eastAsia="Arial Unicode MS"/>
            <w:sz w:val="24"/>
            <w:szCs w:val="24"/>
          </w:rPr>
          <w:t>Banfu</w:t>
        </w:r>
      </w:hyperlink>
      <w:r w:rsidR="00624700" w:rsidRPr="00903BCB">
        <w:rPr>
          <w:rFonts w:eastAsia="Arial Unicode MS"/>
          <w:sz w:val="24"/>
          <w:szCs w:val="24"/>
        </w:rPr>
        <w:t xml:space="preserve">l, A. 2011. Do formula-based intergovernmental transfer mechanisms eliminate politically motivated targeting? Evidence from Ghana. </w:t>
      </w:r>
      <w:hyperlink r:id="rId26" w:history="1">
        <w:r w:rsidR="00624700" w:rsidRPr="00903BCB">
          <w:rPr>
            <w:rFonts w:eastAsia="Arial Unicode MS"/>
            <w:i/>
            <w:sz w:val="24"/>
            <w:szCs w:val="24"/>
          </w:rPr>
          <w:t>Journal of Development Economics</w:t>
        </w:r>
      </w:hyperlink>
      <w:r w:rsidR="00624700" w:rsidRPr="00903BCB">
        <w:rPr>
          <w:rFonts w:eastAsia="Arial Unicode MS"/>
          <w:i/>
          <w:sz w:val="24"/>
          <w:szCs w:val="24"/>
        </w:rPr>
        <w:t xml:space="preserve"> </w:t>
      </w:r>
      <w:r w:rsidR="00624700" w:rsidRPr="00903BCB">
        <w:rPr>
          <w:rFonts w:eastAsia="Arial Unicode MS"/>
          <w:sz w:val="24"/>
          <w:szCs w:val="24"/>
        </w:rPr>
        <w:t>96</w:t>
      </w:r>
      <w:r w:rsidR="00624700" w:rsidRPr="00903BCB">
        <w:rPr>
          <w:rFonts w:eastAsia="Arial Unicode MS"/>
          <w:i/>
          <w:sz w:val="24"/>
          <w:szCs w:val="24"/>
        </w:rPr>
        <w:t>(2)</w:t>
      </w:r>
      <w:r w:rsidR="00624700" w:rsidRPr="00903BCB">
        <w:rPr>
          <w:rFonts w:eastAsia="Arial Unicode MS"/>
          <w:sz w:val="24"/>
          <w:szCs w:val="24"/>
        </w:rPr>
        <w:t>: 380-390.</w:t>
      </w:r>
    </w:p>
    <w:p w14:paraId="06BD9ABF" w14:textId="77777777" w:rsidR="00AB4828" w:rsidRPr="00903BCB" w:rsidRDefault="00AB4828" w:rsidP="00AB4828">
      <w:pPr>
        <w:spacing w:after="240"/>
        <w:ind w:left="720" w:right="0" w:hanging="720"/>
        <w:rPr>
          <w:bCs/>
          <w:sz w:val="24"/>
          <w:szCs w:val="24"/>
        </w:rPr>
      </w:pPr>
      <w:r w:rsidRPr="00903BCB">
        <w:rPr>
          <w:bCs/>
          <w:sz w:val="24"/>
          <w:szCs w:val="24"/>
        </w:rPr>
        <w:t xml:space="preserve">Bird, R., and Smart, M. 2001. Intergovernmental Fiscal Transfers: Some Lessons from International Experience. </w:t>
      </w:r>
      <w:r w:rsidRPr="00903BCB">
        <w:rPr>
          <w:bCs/>
          <w:i/>
          <w:sz w:val="24"/>
          <w:szCs w:val="24"/>
        </w:rPr>
        <w:t>Symposium on Intergovernmental Transfers in Asian Countries: Issues and Practices, Asian Tax and Public Policy Program</w:t>
      </w:r>
      <w:r w:rsidRPr="00903BCB">
        <w:rPr>
          <w:bCs/>
          <w:sz w:val="24"/>
          <w:szCs w:val="24"/>
        </w:rPr>
        <w:t>. Hitosubashi University, Tokyo, Japan.</w:t>
      </w:r>
    </w:p>
    <w:p w14:paraId="4040A9F7" w14:textId="0E571F9B" w:rsidR="00CE6BAE" w:rsidRPr="00903BCB" w:rsidRDefault="00CE6BAE" w:rsidP="00AB4828">
      <w:pPr>
        <w:spacing w:after="240"/>
        <w:ind w:left="720" w:right="0" w:hanging="720"/>
        <w:rPr>
          <w:bCs/>
          <w:sz w:val="24"/>
          <w:szCs w:val="24"/>
        </w:rPr>
      </w:pPr>
      <w:r w:rsidRPr="00903BCB">
        <w:rPr>
          <w:sz w:val="24"/>
          <w:szCs w:val="24"/>
        </w:rPr>
        <w:t>Caldeira, E. 201</w:t>
      </w:r>
      <w:r w:rsidR="00617C38" w:rsidRPr="00903BCB">
        <w:rPr>
          <w:sz w:val="24"/>
          <w:szCs w:val="24"/>
        </w:rPr>
        <w:t>2</w:t>
      </w:r>
      <w:r w:rsidRPr="00903BCB">
        <w:rPr>
          <w:sz w:val="24"/>
          <w:szCs w:val="24"/>
        </w:rPr>
        <w:t>. Does the System of Allocation of Intergovernmental Transfers in Senegal Eliminate Politically Motivated Targeting? </w:t>
      </w:r>
      <w:r w:rsidRPr="00903BCB">
        <w:rPr>
          <w:i/>
          <w:sz w:val="24"/>
          <w:szCs w:val="24"/>
        </w:rPr>
        <w:t>Journal of African Economies</w:t>
      </w:r>
      <w:r w:rsidRPr="00903BCB">
        <w:rPr>
          <w:sz w:val="24"/>
          <w:szCs w:val="24"/>
        </w:rPr>
        <w:t>, </w:t>
      </w:r>
      <w:hyperlink r:id="rId27" w:history="1">
        <w:r w:rsidRPr="00903BCB">
          <w:rPr>
            <w:sz w:val="24"/>
            <w:szCs w:val="24"/>
          </w:rPr>
          <w:t>21</w:t>
        </w:r>
        <w:r w:rsidRPr="00903BCB">
          <w:rPr>
            <w:i/>
            <w:iCs/>
            <w:sz w:val="24"/>
            <w:szCs w:val="24"/>
          </w:rPr>
          <w:t>(2</w:t>
        </w:r>
      </w:hyperlink>
      <w:r w:rsidRPr="00903BCB">
        <w:rPr>
          <w:i/>
          <w:iCs/>
          <w:sz w:val="24"/>
          <w:szCs w:val="24"/>
        </w:rPr>
        <w:t>)</w:t>
      </w:r>
      <w:r w:rsidRPr="00903BCB">
        <w:rPr>
          <w:sz w:val="24"/>
          <w:szCs w:val="24"/>
        </w:rPr>
        <w:t>: 167-191</w:t>
      </w:r>
    </w:p>
    <w:p w14:paraId="7BF7E82D" w14:textId="77777777" w:rsidR="00216B7E" w:rsidRPr="00903BCB" w:rsidRDefault="00AB4828" w:rsidP="00216B7E">
      <w:pPr>
        <w:spacing w:after="240"/>
        <w:ind w:left="720" w:right="0" w:hanging="720"/>
        <w:jc w:val="left"/>
        <w:rPr>
          <w:sz w:val="24"/>
          <w:szCs w:val="24"/>
        </w:rPr>
      </w:pPr>
      <w:r w:rsidRPr="00903BCB">
        <w:rPr>
          <w:sz w:val="24"/>
          <w:szCs w:val="24"/>
        </w:rPr>
        <w:t xml:space="preserve">Department of Statistics (DOS). 2010. Jordan in Figures. </w:t>
      </w:r>
      <w:r w:rsidRPr="00903BCB">
        <w:rPr>
          <w:i/>
          <w:sz w:val="24"/>
          <w:szCs w:val="24"/>
        </w:rPr>
        <w:t>Government of Jordan</w:t>
      </w:r>
      <w:r w:rsidRPr="00903BCB">
        <w:rPr>
          <w:sz w:val="24"/>
          <w:szCs w:val="24"/>
        </w:rPr>
        <w:t>.</w:t>
      </w:r>
    </w:p>
    <w:p w14:paraId="65D5DA78" w14:textId="3C381FE2" w:rsidR="00216B7E" w:rsidRPr="00903BCB" w:rsidRDefault="00216B7E" w:rsidP="00216B7E">
      <w:pPr>
        <w:spacing w:after="240"/>
        <w:ind w:left="720" w:right="0" w:hanging="720"/>
        <w:jc w:val="left"/>
        <w:rPr>
          <w:sz w:val="24"/>
          <w:szCs w:val="24"/>
        </w:rPr>
      </w:pPr>
      <w:r w:rsidRPr="00903BCB">
        <w:rPr>
          <w:iCs/>
          <w:sz w:val="24"/>
          <w:szCs w:val="24"/>
        </w:rPr>
        <w:t>Eaton, K., Kaiser, K., and Smoke, P. 2011. The Political Econ</w:t>
      </w:r>
      <w:r w:rsidR="00FF11FA" w:rsidRPr="00903BCB">
        <w:rPr>
          <w:iCs/>
          <w:sz w:val="24"/>
          <w:szCs w:val="24"/>
        </w:rPr>
        <w:t>omy of Decentralization Reforms</w:t>
      </w:r>
      <w:r w:rsidRPr="00903BCB">
        <w:rPr>
          <w:iCs/>
          <w:sz w:val="24"/>
          <w:szCs w:val="24"/>
        </w:rPr>
        <w:t>: Implications for Aid Effectiv</w:t>
      </w:r>
      <w:r w:rsidR="00FF11FA" w:rsidRPr="00903BCB">
        <w:rPr>
          <w:iCs/>
          <w:sz w:val="24"/>
          <w:szCs w:val="24"/>
        </w:rPr>
        <w:t xml:space="preserve">eness. </w:t>
      </w:r>
      <w:r w:rsidR="00FF11FA" w:rsidRPr="00903BCB">
        <w:rPr>
          <w:i/>
          <w:iCs/>
          <w:sz w:val="24"/>
          <w:szCs w:val="24"/>
        </w:rPr>
        <w:t>World Bank</w:t>
      </w:r>
      <w:r w:rsidR="00FF11FA" w:rsidRPr="00903BCB">
        <w:rPr>
          <w:iCs/>
          <w:sz w:val="24"/>
          <w:szCs w:val="24"/>
        </w:rPr>
        <w:t>.</w:t>
      </w:r>
      <w:r w:rsidRPr="00903BCB">
        <w:rPr>
          <w:iCs/>
          <w:sz w:val="24"/>
          <w:szCs w:val="24"/>
        </w:rPr>
        <w:t xml:space="preserve"> </w:t>
      </w:r>
      <w:r w:rsidR="00FF11FA" w:rsidRPr="00903BCB">
        <w:rPr>
          <w:iCs/>
          <w:sz w:val="24"/>
          <w:szCs w:val="24"/>
        </w:rPr>
        <w:t xml:space="preserve">Available at </w:t>
      </w:r>
      <w:hyperlink r:id="rId28" w:history="1">
        <w:r w:rsidR="00FF11FA" w:rsidRPr="00903BCB">
          <w:rPr>
            <w:rStyle w:val="Hyperlink"/>
            <w:iCs/>
            <w:sz w:val="24"/>
            <w:szCs w:val="24"/>
          </w:rPr>
          <w:t>https://openknowledge.worldbank.org/handle/10986/2336</w:t>
        </w:r>
      </w:hyperlink>
      <w:r w:rsidR="00FF11FA" w:rsidRPr="00903BCB">
        <w:rPr>
          <w:iCs/>
          <w:sz w:val="24"/>
          <w:szCs w:val="24"/>
        </w:rPr>
        <w:t xml:space="preserve"> </w:t>
      </w:r>
    </w:p>
    <w:p w14:paraId="45DE701D" w14:textId="77777777" w:rsidR="00AB4828" w:rsidRPr="00903BCB" w:rsidRDefault="00AB4828" w:rsidP="00AB4828">
      <w:pPr>
        <w:spacing w:after="240"/>
        <w:ind w:left="720" w:right="0" w:hanging="720"/>
        <w:rPr>
          <w:bCs/>
          <w:i/>
          <w:iCs/>
          <w:sz w:val="24"/>
          <w:szCs w:val="24"/>
        </w:rPr>
      </w:pPr>
      <w:r w:rsidRPr="00903BCB">
        <w:rPr>
          <w:sz w:val="24"/>
          <w:szCs w:val="24"/>
          <w:lang w:val="en-GB"/>
        </w:rPr>
        <w:t>El Mensi, M. and Romeo, L.</w:t>
      </w:r>
      <w:r w:rsidRPr="00903BCB">
        <w:rPr>
          <w:bCs/>
          <w:sz w:val="24"/>
          <w:szCs w:val="24"/>
        </w:rPr>
        <w:t xml:space="preserve"> 2009. Policy and Technical Advisory Services to the Inter-Ministerial Technical Committee on Decentralization</w:t>
      </w:r>
      <w:r w:rsidRPr="00903BCB">
        <w:rPr>
          <w:bCs/>
          <w:i/>
          <w:sz w:val="24"/>
          <w:szCs w:val="24"/>
        </w:rPr>
        <w:t xml:space="preserve"> </w:t>
      </w:r>
      <w:r w:rsidRPr="00903BCB">
        <w:rPr>
          <w:bCs/>
          <w:sz w:val="24"/>
          <w:szCs w:val="24"/>
        </w:rPr>
        <w:t>in Jordan.</w:t>
      </w:r>
      <w:r w:rsidRPr="00903BCB">
        <w:rPr>
          <w:sz w:val="24"/>
          <w:szCs w:val="24"/>
          <w:lang w:val="en-GB"/>
        </w:rPr>
        <w:t xml:space="preserve"> </w:t>
      </w:r>
      <w:r w:rsidRPr="00903BCB">
        <w:rPr>
          <w:i/>
          <w:iCs/>
          <w:sz w:val="24"/>
          <w:szCs w:val="24"/>
          <w:lang w:val="en-GB"/>
        </w:rPr>
        <w:t>United Nations Development Program (UNDP)</w:t>
      </w:r>
      <w:r w:rsidRPr="00903BCB">
        <w:rPr>
          <w:bCs/>
          <w:i/>
          <w:iCs/>
          <w:sz w:val="24"/>
          <w:szCs w:val="24"/>
        </w:rPr>
        <w:t xml:space="preserve">, </w:t>
      </w:r>
      <w:r w:rsidRPr="00903BCB">
        <w:rPr>
          <w:bCs/>
          <w:iCs/>
          <w:sz w:val="24"/>
          <w:szCs w:val="24"/>
        </w:rPr>
        <w:t>New York: NY.</w:t>
      </w:r>
    </w:p>
    <w:p w14:paraId="12558471" w14:textId="77777777" w:rsidR="00681844" w:rsidRPr="00903BCB" w:rsidRDefault="00AB4828" w:rsidP="00681844">
      <w:pPr>
        <w:spacing w:after="240"/>
        <w:ind w:left="720" w:right="0" w:hanging="720"/>
        <w:rPr>
          <w:bCs/>
          <w:sz w:val="24"/>
          <w:szCs w:val="24"/>
        </w:rPr>
      </w:pPr>
      <w:r w:rsidRPr="00903BCB">
        <w:rPr>
          <w:bCs/>
          <w:sz w:val="24"/>
          <w:szCs w:val="24"/>
        </w:rPr>
        <w:t xml:space="preserve">Falleti, T. 2005. A Sequential Theory of Decentralization: Latin American Cases in Comparative Perspective. </w:t>
      </w:r>
      <w:r w:rsidRPr="00903BCB">
        <w:rPr>
          <w:bCs/>
          <w:i/>
          <w:sz w:val="24"/>
          <w:szCs w:val="24"/>
        </w:rPr>
        <w:t>American Political Sciences Review.</w:t>
      </w:r>
      <w:r w:rsidRPr="00903BCB">
        <w:rPr>
          <w:bCs/>
          <w:sz w:val="24"/>
          <w:szCs w:val="24"/>
        </w:rPr>
        <w:t xml:space="preserve"> 99</w:t>
      </w:r>
      <w:r w:rsidRPr="00903BCB">
        <w:rPr>
          <w:bCs/>
          <w:i/>
          <w:sz w:val="24"/>
          <w:szCs w:val="24"/>
        </w:rPr>
        <w:t>(3)</w:t>
      </w:r>
      <w:r w:rsidRPr="00903BCB">
        <w:rPr>
          <w:bCs/>
          <w:sz w:val="24"/>
          <w:szCs w:val="24"/>
        </w:rPr>
        <w:t>: 327-346.</w:t>
      </w:r>
    </w:p>
    <w:p w14:paraId="12F0DD04" w14:textId="5E0DFEA4" w:rsidR="00681844" w:rsidRPr="00903BCB" w:rsidRDefault="00681844" w:rsidP="00681844">
      <w:pPr>
        <w:spacing w:after="240"/>
        <w:ind w:left="720" w:right="0" w:hanging="720"/>
        <w:rPr>
          <w:bCs/>
          <w:sz w:val="24"/>
          <w:szCs w:val="24"/>
        </w:rPr>
      </w:pPr>
      <w:r w:rsidRPr="00903BCB">
        <w:rPr>
          <w:sz w:val="24"/>
          <w:szCs w:val="24"/>
        </w:rPr>
        <w:t>Jordan Resource Transfer Pool and Allocation to Municipalities Bulletin No. (01).</w:t>
      </w:r>
    </w:p>
    <w:p w14:paraId="229AC8DC" w14:textId="77777777" w:rsidR="00AB4828" w:rsidRPr="00903BCB" w:rsidRDefault="00AB4828" w:rsidP="00AB4828">
      <w:pPr>
        <w:spacing w:after="240"/>
        <w:ind w:left="720" w:right="0" w:hanging="720"/>
        <w:rPr>
          <w:sz w:val="24"/>
          <w:szCs w:val="24"/>
          <w:lang w:val="en-GB"/>
        </w:rPr>
      </w:pPr>
      <w:r w:rsidRPr="00903BCB">
        <w:rPr>
          <w:sz w:val="24"/>
          <w:szCs w:val="24"/>
          <w:lang w:val="en-GB"/>
        </w:rPr>
        <w:t>Kammeier, D. 2010</w:t>
      </w:r>
      <w:r w:rsidRPr="00903BCB">
        <w:rPr>
          <w:bCs/>
          <w:sz w:val="24"/>
          <w:szCs w:val="24"/>
        </w:rPr>
        <w:t xml:space="preserve">. </w:t>
      </w:r>
      <w:r w:rsidRPr="00903BCB">
        <w:rPr>
          <w:sz w:val="24"/>
          <w:szCs w:val="24"/>
          <w:lang w:val="en-GB"/>
        </w:rPr>
        <w:t xml:space="preserve">Capacity Building for Decentralization in Jordan: Focus on Governorate LDU. </w:t>
      </w:r>
      <w:r w:rsidRPr="00903BCB">
        <w:rPr>
          <w:i/>
          <w:sz w:val="24"/>
          <w:szCs w:val="24"/>
          <w:lang w:val="en-GB"/>
        </w:rPr>
        <w:t xml:space="preserve">United Nation Development Program (UNDP), </w:t>
      </w:r>
      <w:r w:rsidRPr="00903BCB">
        <w:rPr>
          <w:bCs/>
          <w:iCs/>
          <w:sz w:val="24"/>
          <w:szCs w:val="24"/>
        </w:rPr>
        <w:t>New York: NY</w:t>
      </w:r>
      <w:r w:rsidRPr="00903BCB">
        <w:rPr>
          <w:sz w:val="24"/>
          <w:szCs w:val="24"/>
          <w:lang w:val="en-GB"/>
        </w:rPr>
        <w:t>.</w:t>
      </w:r>
    </w:p>
    <w:p w14:paraId="27185D71" w14:textId="77777777" w:rsidR="00AB4828" w:rsidRPr="00903BCB" w:rsidRDefault="00AB4828" w:rsidP="00AB4828">
      <w:pPr>
        <w:spacing w:after="240"/>
        <w:ind w:left="720" w:right="0" w:hanging="720"/>
        <w:jc w:val="left"/>
        <w:rPr>
          <w:i/>
          <w:iCs/>
          <w:sz w:val="24"/>
          <w:szCs w:val="24"/>
        </w:rPr>
      </w:pPr>
      <w:r w:rsidRPr="00903BCB">
        <w:rPr>
          <w:color w:val="000000"/>
          <w:sz w:val="24"/>
          <w:szCs w:val="24"/>
        </w:rPr>
        <w:t>Leading Point Management Advisory.</w:t>
      </w:r>
      <w:r w:rsidRPr="00903BCB">
        <w:rPr>
          <w:sz w:val="24"/>
          <w:szCs w:val="24"/>
        </w:rPr>
        <w:t xml:space="preserve"> 2011. LED Strategy Framework: Local Economic Development Strategy, Investment Planning, and Institutional Building Project. Regional and Local Development Project (RLDP). </w:t>
      </w:r>
      <w:r w:rsidRPr="00903BCB">
        <w:rPr>
          <w:i/>
          <w:sz w:val="24"/>
          <w:szCs w:val="24"/>
        </w:rPr>
        <w:t>Ministry of Municipal Affairs of the Government of Jordan</w:t>
      </w:r>
      <w:r w:rsidRPr="00903BCB">
        <w:rPr>
          <w:sz w:val="24"/>
          <w:szCs w:val="24"/>
        </w:rPr>
        <w:t>.</w:t>
      </w:r>
    </w:p>
    <w:p w14:paraId="6CC57BE5" w14:textId="77777777" w:rsidR="00AB4828" w:rsidRPr="00903BCB" w:rsidRDefault="00AB4828" w:rsidP="00AB4828">
      <w:pPr>
        <w:spacing w:after="240"/>
        <w:ind w:left="720" w:right="0" w:hanging="720"/>
        <w:jc w:val="left"/>
        <w:rPr>
          <w:i/>
          <w:iCs/>
          <w:sz w:val="24"/>
          <w:szCs w:val="24"/>
        </w:rPr>
      </w:pPr>
      <w:r w:rsidRPr="00903BCB">
        <w:rPr>
          <w:sz w:val="24"/>
          <w:szCs w:val="24"/>
          <w:lang w:val="en-GB"/>
        </w:rPr>
        <w:t>LGDK-Denmark. 2008.</w:t>
      </w:r>
      <w:r w:rsidRPr="00903BCB">
        <w:rPr>
          <w:bCs/>
          <w:sz w:val="24"/>
          <w:szCs w:val="24"/>
        </w:rPr>
        <w:t xml:space="preserve"> Decentralization and Women’s Participation in Jordan Project: Vision for Decentralization in Jordan</w:t>
      </w:r>
      <w:r w:rsidRPr="00903BCB">
        <w:rPr>
          <w:sz w:val="24"/>
          <w:szCs w:val="24"/>
          <w:lang w:val="en-GB"/>
        </w:rPr>
        <w:t xml:space="preserve">. </w:t>
      </w:r>
      <w:r w:rsidRPr="00903BCB">
        <w:rPr>
          <w:i/>
          <w:sz w:val="24"/>
          <w:szCs w:val="24"/>
          <w:lang w:val="en-GB"/>
        </w:rPr>
        <w:t>Government of Jordan</w:t>
      </w:r>
      <w:r w:rsidRPr="00903BCB">
        <w:rPr>
          <w:sz w:val="24"/>
          <w:szCs w:val="24"/>
          <w:lang w:val="en-GB"/>
        </w:rPr>
        <w:t>.</w:t>
      </w:r>
    </w:p>
    <w:p w14:paraId="6F2EFF74" w14:textId="77777777" w:rsidR="00AB4828" w:rsidRPr="00903BCB" w:rsidRDefault="00AB4828" w:rsidP="00AB4828">
      <w:pPr>
        <w:spacing w:after="240"/>
        <w:ind w:left="720" w:right="0" w:hanging="720"/>
        <w:jc w:val="left"/>
        <w:rPr>
          <w:i/>
          <w:iCs/>
          <w:sz w:val="24"/>
          <w:szCs w:val="24"/>
        </w:rPr>
      </w:pPr>
      <w:r w:rsidRPr="00903BCB">
        <w:rPr>
          <w:sz w:val="24"/>
          <w:szCs w:val="24"/>
          <w:lang w:val="en-GB"/>
        </w:rPr>
        <w:t xml:space="preserve">LGDK-Denmark. 2011. </w:t>
      </w:r>
      <w:r w:rsidRPr="00903BCB">
        <w:rPr>
          <w:bCs/>
          <w:sz w:val="24"/>
          <w:szCs w:val="24"/>
          <w:lang w:val="da-DK"/>
        </w:rPr>
        <w:t>Local Government Performance Assessment System (LGPAS),</w:t>
      </w:r>
      <w:r w:rsidRPr="00903BCB">
        <w:rPr>
          <w:sz w:val="24"/>
          <w:szCs w:val="24"/>
          <w:lang w:val="en-GB"/>
        </w:rPr>
        <w:t xml:space="preserve"> for municipalities and governorates in Jordan. </w:t>
      </w:r>
      <w:r w:rsidRPr="00903BCB">
        <w:rPr>
          <w:i/>
          <w:sz w:val="24"/>
          <w:szCs w:val="24"/>
          <w:lang w:val="en-GB"/>
        </w:rPr>
        <w:t>Ministry of Municipal Affairs of the Government of Jordan</w:t>
      </w:r>
      <w:r w:rsidRPr="00903BCB">
        <w:rPr>
          <w:sz w:val="24"/>
          <w:szCs w:val="24"/>
          <w:lang w:val="en-GB"/>
        </w:rPr>
        <w:t>.</w:t>
      </w:r>
    </w:p>
    <w:p w14:paraId="790B0617" w14:textId="77777777" w:rsidR="00AB4828" w:rsidRPr="00903BCB" w:rsidRDefault="00AB4828" w:rsidP="00AB4828">
      <w:pPr>
        <w:spacing w:after="240"/>
        <w:ind w:left="720" w:right="0" w:hanging="720"/>
        <w:jc w:val="left"/>
        <w:rPr>
          <w:sz w:val="24"/>
          <w:szCs w:val="24"/>
        </w:rPr>
      </w:pPr>
      <w:r w:rsidRPr="00903BCB">
        <w:rPr>
          <w:sz w:val="24"/>
          <w:szCs w:val="24"/>
        </w:rPr>
        <w:t xml:space="preserve">Ma. 1997. Intergovernmental Fiscal Transfer: A Comparison of Nine Countries. </w:t>
      </w:r>
      <w:r w:rsidRPr="00903BCB">
        <w:rPr>
          <w:i/>
          <w:sz w:val="24"/>
          <w:szCs w:val="24"/>
        </w:rPr>
        <w:t>The World Bank</w:t>
      </w:r>
      <w:r w:rsidRPr="00903BCB">
        <w:rPr>
          <w:sz w:val="24"/>
          <w:szCs w:val="24"/>
        </w:rPr>
        <w:t>, Washington: DC.</w:t>
      </w:r>
    </w:p>
    <w:p w14:paraId="36F5916C" w14:textId="77777777" w:rsidR="00AB4828" w:rsidRPr="00903BCB" w:rsidRDefault="00AB4828" w:rsidP="00AB4828">
      <w:pPr>
        <w:spacing w:after="240"/>
        <w:ind w:left="720" w:right="0" w:hanging="720"/>
        <w:jc w:val="left"/>
        <w:rPr>
          <w:i/>
          <w:sz w:val="24"/>
          <w:szCs w:val="24"/>
          <w:highlight w:val="yellow"/>
          <w:lang w:val="en-GB"/>
        </w:rPr>
      </w:pPr>
      <w:r w:rsidRPr="00903BCB">
        <w:rPr>
          <w:sz w:val="24"/>
          <w:szCs w:val="24"/>
        </w:rPr>
        <w:t xml:space="preserve">Martinez-Vazquez, J. and Boex, J. 2002. The Design of Equalization Grants: Theory and Application. </w:t>
      </w:r>
      <w:r w:rsidRPr="00903BCB">
        <w:rPr>
          <w:i/>
          <w:sz w:val="24"/>
          <w:szCs w:val="24"/>
        </w:rPr>
        <w:t>World Bank Institute</w:t>
      </w:r>
      <w:r w:rsidRPr="00903BCB">
        <w:rPr>
          <w:sz w:val="24"/>
          <w:szCs w:val="24"/>
        </w:rPr>
        <w:t>, Washington, D.C.</w:t>
      </w:r>
    </w:p>
    <w:p w14:paraId="05D8B9D3" w14:textId="77777777" w:rsidR="00AB4828" w:rsidRPr="00903BCB" w:rsidRDefault="00AB4828" w:rsidP="00AB4828">
      <w:pPr>
        <w:spacing w:after="240"/>
        <w:ind w:left="720" w:right="0" w:hanging="720"/>
        <w:jc w:val="left"/>
        <w:rPr>
          <w:bCs/>
          <w:sz w:val="24"/>
          <w:szCs w:val="24"/>
        </w:rPr>
      </w:pPr>
      <w:r w:rsidRPr="00903BCB">
        <w:rPr>
          <w:bCs/>
          <w:sz w:val="24"/>
          <w:szCs w:val="24"/>
        </w:rPr>
        <w:t xml:space="preserve">Ministry of Interior (MOI). 2005. </w:t>
      </w:r>
      <w:r w:rsidRPr="00903BCB">
        <w:rPr>
          <w:sz w:val="24"/>
          <w:szCs w:val="24"/>
          <w:lang w:val="en-GB"/>
        </w:rPr>
        <w:t xml:space="preserve">Administrative Formation Law 37/1995. </w:t>
      </w:r>
      <w:r w:rsidRPr="00903BCB">
        <w:rPr>
          <w:i/>
          <w:sz w:val="24"/>
          <w:szCs w:val="24"/>
          <w:lang w:val="en-GB"/>
        </w:rPr>
        <w:t>Government of Jordan</w:t>
      </w:r>
      <w:r w:rsidRPr="00903BCB">
        <w:rPr>
          <w:sz w:val="24"/>
          <w:szCs w:val="24"/>
          <w:lang w:val="en-GB"/>
        </w:rPr>
        <w:t>.</w:t>
      </w:r>
    </w:p>
    <w:p w14:paraId="665D821B" w14:textId="77777777" w:rsidR="00AB4828" w:rsidRPr="00903BCB" w:rsidRDefault="00AB4828" w:rsidP="00AB4828">
      <w:pPr>
        <w:spacing w:after="240"/>
        <w:ind w:left="720" w:right="0" w:hanging="720"/>
        <w:jc w:val="left"/>
        <w:rPr>
          <w:bCs/>
          <w:sz w:val="24"/>
          <w:szCs w:val="24"/>
        </w:rPr>
      </w:pPr>
      <w:r w:rsidRPr="00903BCB">
        <w:rPr>
          <w:bCs/>
          <w:sz w:val="24"/>
          <w:szCs w:val="24"/>
        </w:rPr>
        <w:t xml:space="preserve">________________(MOI). 2010. The Local Council Draft Law. </w:t>
      </w:r>
      <w:r w:rsidRPr="00903BCB">
        <w:rPr>
          <w:bCs/>
          <w:i/>
          <w:sz w:val="24"/>
          <w:szCs w:val="24"/>
        </w:rPr>
        <w:t>Government of Jordan</w:t>
      </w:r>
      <w:r w:rsidRPr="00903BCB">
        <w:rPr>
          <w:bCs/>
          <w:sz w:val="24"/>
          <w:szCs w:val="24"/>
        </w:rPr>
        <w:t>.</w:t>
      </w:r>
    </w:p>
    <w:p w14:paraId="2C553754" w14:textId="77777777" w:rsidR="00AB4828" w:rsidRPr="00903BCB" w:rsidRDefault="00AB4828" w:rsidP="00AB4828">
      <w:pPr>
        <w:spacing w:after="240"/>
        <w:ind w:left="720" w:right="0" w:hanging="720"/>
        <w:jc w:val="left"/>
        <w:rPr>
          <w:i/>
          <w:iCs/>
          <w:sz w:val="24"/>
          <w:szCs w:val="24"/>
          <w:lang w:bidi="ar-JO"/>
        </w:rPr>
      </w:pPr>
      <w:r w:rsidRPr="00903BCB">
        <w:rPr>
          <w:sz w:val="24"/>
          <w:szCs w:val="24"/>
          <w:lang w:bidi="ar-JO"/>
        </w:rPr>
        <w:t xml:space="preserve">Ministry of Municipal Affairs (MOMA). 2005. Power Point Presentation: The Intergovernmental Transfers committee's Result.  </w:t>
      </w:r>
      <w:r w:rsidRPr="00903BCB">
        <w:rPr>
          <w:i/>
          <w:iCs/>
          <w:sz w:val="24"/>
          <w:szCs w:val="24"/>
          <w:lang w:bidi="ar-JO"/>
        </w:rPr>
        <w:t>Government of Jordan.</w:t>
      </w:r>
    </w:p>
    <w:p w14:paraId="5C384C1C" w14:textId="7CC3CC9E" w:rsidR="00AB4828" w:rsidRPr="00903BCB" w:rsidRDefault="00AB4828" w:rsidP="00AF4194">
      <w:pPr>
        <w:spacing w:after="240"/>
        <w:ind w:left="720" w:right="0" w:hanging="720"/>
        <w:jc w:val="left"/>
        <w:rPr>
          <w:bCs/>
          <w:sz w:val="24"/>
          <w:szCs w:val="24"/>
        </w:rPr>
      </w:pPr>
      <w:r w:rsidRPr="00903BCB">
        <w:rPr>
          <w:bCs/>
          <w:sz w:val="24"/>
          <w:szCs w:val="24"/>
        </w:rPr>
        <w:t>______</w:t>
      </w:r>
      <w:r w:rsidR="00E418DB" w:rsidRPr="00903BCB">
        <w:rPr>
          <w:bCs/>
          <w:sz w:val="24"/>
          <w:szCs w:val="24"/>
        </w:rPr>
        <w:t>_________________________</w:t>
      </w:r>
      <w:r w:rsidRPr="00903BCB">
        <w:rPr>
          <w:bCs/>
          <w:sz w:val="24"/>
          <w:szCs w:val="24"/>
        </w:rPr>
        <w:t xml:space="preserve">. </w:t>
      </w:r>
      <w:r w:rsidR="00AF4194" w:rsidRPr="00903BCB">
        <w:rPr>
          <w:bCs/>
          <w:sz w:val="24"/>
          <w:szCs w:val="24"/>
        </w:rPr>
        <w:t>2011</w:t>
      </w:r>
      <w:r w:rsidRPr="00903BCB">
        <w:rPr>
          <w:bCs/>
          <w:sz w:val="24"/>
          <w:szCs w:val="24"/>
        </w:rPr>
        <w:t xml:space="preserve">. Jordan Municipal Law </w:t>
      </w:r>
      <w:r w:rsidR="00AF4194" w:rsidRPr="00903BCB">
        <w:rPr>
          <w:bCs/>
          <w:sz w:val="24"/>
          <w:szCs w:val="24"/>
        </w:rPr>
        <w:t>13</w:t>
      </w:r>
      <w:r w:rsidRPr="00903BCB">
        <w:rPr>
          <w:bCs/>
          <w:sz w:val="24"/>
          <w:szCs w:val="24"/>
        </w:rPr>
        <w:t>/</w:t>
      </w:r>
      <w:r w:rsidR="00AF4194" w:rsidRPr="00903BCB">
        <w:rPr>
          <w:bCs/>
          <w:sz w:val="24"/>
          <w:szCs w:val="24"/>
        </w:rPr>
        <w:t>2013</w:t>
      </w:r>
      <w:r w:rsidRPr="00903BCB">
        <w:rPr>
          <w:bCs/>
          <w:sz w:val="24"/>
          <w:szCs w:val="24"/>
        </w:rPr>
        <w:t xml:space="preserve">. </w:t>
      </w:r>
      <w:r w:rsidRPr="00903BCB">
        <w:rPr>
          <w:bCs/>
          <w:i/>
          <w:sz w:val="24"/>
          <w:szCs w:val="24"/>
        </w:rPr>
        <w:t>Government of Jordan</w:t>
      </w:r>
      <w:r w:rsidRPr="00903BCB">
        <w:rPr>
          <w:bCs/>
          <w:sz w:val="24"/>
          <w:szCs w:val="24"/>
        </w:rPr>
        <w:t>.</w:t>
      </w:r>
    </w:p>
    <w:p w14:paraId="76CCA9A8" w14:textId="1E87C132" w:rsidR="00AB4828" w:rsidRPr="00903BCB" w:rsidRDefault="00AB4828" w:rsidP="00AB4828">
      <w:pPr>
        <w:spacing w:after="240"/>
        <w:ind w:left="720" w:right="0" w:hanging="720"/>
        <w:jc w:val="left"/>
        <w:rPr>
          <w:sz w:val="24"/>
          <w:szCs w:val="24"/>
        </w:rPr>
      </w:pPr>
      <w:r w:rsidRPr="00903BCB">
        <w:rPr>
          <w:sz w:val="24"/>
          <w:szCs w:val="24"/>
          <w:lang w:val="en-GB"/>
        </w:rPr>
        <w:t>______</w:t>
      </w:r>
      <w:r w:rsidR="00E418DB" w:rsidRPr="00903BCB">
        <w:rPr>
          <w:sz w:val="24"/>
          <w:szCs w:val="24"/>
          <w:lang w:val="en-GB"/>
        </w:rPr>
        <w:t>_________________________</w:t>
      </w:r>
      <w:r w:rsidRPr="00903BCB">
        <w:rPr>
          <w:sz w:val="24"/>
          <w:szCs w:val="24"/>
          <w:lang w:val="en-GB"/>
        </w:rPr>
        <w:t xml:space="preserve">. 2010. Regional and Local development Project: Revision of the Current Formula.  </w:t>
      </w:r>
      <w:r w:rsidRPr="00903BCB">
        <w:rPr>
          <w:i/>
          <w:sz w:val="24"/>
          <w:szCs w:val="24"/>
          <w:lang w:val="en-GB"/>
        </w:rPr>
        <w:t>Government of Jordan</w:t>
      </w:r>
      <w:r w:rsidRPr="00903BCB">
        <w:rPr>
          <w:sz w:val="24"/>
          <w:szCs w:val="24"/>
        </w:rPr>
        <w:t>.</w:t>
      </w:r>
    </w:p>
    <w:p w14:paraId="249589EB" w14:textId="77777777" w:rsidR="00AB4828" w:rsidRPr="00903BCB" w:rsidRDefault="00AB4828" w:rsidP="00AB4828">
      <w:pPr>
        <w:spacing w:after="240"/>
        <w:ind w:left="720" w:right="0" w:hanging="720"/>
        <w:jc w:val="left"/>
        <w:rPr>
          <w:sz w:val="24"/>
          <w:szCs w:val="24"/>
        </w:rPr>
      </w:pPr>
      <w:r w:rsidRPr="00903BCB">
        <w:rPr>
          <w:sz w:val="24"/>
          <w:szCs w:val="24"/>
          <w:lang w:bidi="ar-JO"/>
        </w:rPr>
        <w:t>Ministry of Planning and International Cooperation (MOPIC). 2006.</w:t>
      </w:r>
      <w:r w:rsidRPr="00903BCB">
        <w:rPr>
          <w:sz w:val="24"/>
          <w:szCs w:val="24"/>
          <w:lang w:val="en-GB"/>
        </w:rPr>
        <w:t xml:space="preserve"> Regional and Local development Project:</w:t>
      </w:r>
      <w:r w:rsidRPr="00903BCB">
        <w:rPr>
          <w:sz w:val="24"/>
          <w:szCs w:val="24"/>
          <w:rtl/>
          <w:lang w:bidi="ar-JO"/>
        </w:rPr>
        <w:t xml:space="preserve"> </w:t>
      </w:r>
      <w:r w:rsidRPr="00903BCB">
        <w:rPr>
          <w:sz w:val="24"/>
          <w:szCs w:val="24"/>
          <w:lang w:bidi="ar-JO"/>
        </w:rPr>
        <w:t xml:space="preserve">Assessment and Design of Municipal Finance Institutions and Instruments &amp; Strengthening the Capacity of the Ministry of Municipal Affairs, and the Cities and Villages Development Bank. Phase 2 Report.  </w:t>
      </w:r>
      <w:r w:rsidRPr="00903BCB">
        <w:rPr>
          <w:i/>
          <w:iCs/>
          <w:sz w:val="24"/>
          <w:szCs w:val="24"/>
          <w:lang w:bidi="ar-JO"/>
        </w:rPr>
        <w:t>Government of Jordan.</w:t>
      </w:r>
    </w:p>
    <w:p w14:paraId="17D8C7D4" w14:textId="77777777" w:rsidR="00AB4828" w:rsidRPr="00903BCB" w:rsidRDefault="00AB4828" w:rsidP="00AB4828">
      <w:pPr>
        <w:spacing w:after="240"/>
        <w:ind w:left="720" w:right="0" w:hanging="720"/>
        <w:jc w:val="left"/>
        <w:rPr>
          <w:i/>
          <w:iCs/>
          <w:sz w:val="24"/>
          <w:szCs w:val="24"/>
        </w:rPr>
      </w:pP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r>
      <w:r w:rsidRPr="00903BCB">
        <w:rPr>
          <w:sz w:val="24"/>
          <w:szCs w:val="24"/>
        </w:rPr>
        <w:softHyphen/>
        <w:t xml:space="preserve">_________________________________________________. 2010. </w:t>
      </w:r>
      <w:r w:rsidRPr="00903BCB">
        <w:rPr>
          <w:bCs/>
          <w:sz w:val="24"/>
          <w:szCs w:val="24"/>
        </w:rPr>
        <w:t xml:space="preserve">Implementation Enablement Program for Decentralization. </w:t>
      </w:r>
      <w:r w:rsidRPr="00903BCB">
        <w:rPr>
          <w:i/>
          <w:sz w:val="24"/>
          <w:szCs w:val="24"/>
          <w:lang w:val="en-GB"/>
        </w:rPr>
        <w:t>Government of Jordan.</w:t>
      </w:r>
    </w:p>
    <w:p w14:paraId="7276C01E" w14:textId="77777777" w:rsidR="00AB4828" w:rsidRPr="00903BCB" w:rsidRDefault="00AB4828" w:rsidP="00AB4828">
      <w:pPr>
        <w:spacing w:after="240"/>
        <w:ind w:left="720" w:right="0" w:hanging="720"/>
        <w:jc w:val="left"/>
        <w:rPr>
          <w:bCs/>
          <w:sz w:val="24"/>
          <w:szCs w:val="24"/>
        </w:rPr>
      </w:pPr>
      <w:r w:rsidRPr="00903BCB">
        <w:rPr>
          <w:sz w:val="24"/>
          <w:szCs w:val="24"/>
        </w:rPr>
        <w:t xml:space="preserve">Royal Committee for Regionalization. 2005. </w:t>
      </w:r>
      <w:r w:rsidRPr="00903BCB">
        <w:rPr>
          <w:bCs/>
          <w:sz w:val="24"/>
          <w:szCs w:val="24"/>
        </w:rPr>
        <w:t xml:space="preserve">Regionalization Draft Law. </w:t>
      </w:r>
      <w:r w:rsidRPr="00903BCB">
        <w:rPr>
          <w:bCs/>
          <w:i/>
          <w:sz w:val="24"/>
          <w:szCs w:val="24"/>
        </w:rPr>
        <w:t>Government of Jordan</w:t>
      </w:r>
      <w:r w:rsidRPr="00903BCB">
        <w:rPr>
          <w:bCs/>
          <w:sz w:val="24"/>
          <w:szCs w:val="24"/>
        </w:rPr>
        <w:t>.</w:t>
      </w:r>
    </w:p>
    <w:p w14:paraId="50B53044" w14:textId="77777777" w:rsidR="00AB4828" w:rsidRPr="00903BCB" w:rsidRDefault="00AB4828" w:rsidP="00AB4828">
      <w:pPr>
        <w:shd w:val="clear" w:color="auto" w:fill="FFFFFF"/>
        <w:autoSpaceDE/>
        <w:autoSpaceDN/>
        <w:adjustRightInd/>
        <w:spacing w:before="100" w:beforeAutospacing="1" w:after="100" w:afterAutospacing="1"/>
        <w:ind w:left="720" w:right="0" w:hanging="720"/>
        <w:jc w:val="left"/>
        <w:rPr>
          <w:color w:val="333333"/>
          <w:sz w:val="24"/>
          <w:szCs w:val="24"/>
        </w:rPr>
      </w:pPr>
      <w:r w:rsidRPr="00903BCB">
        <w:rPr>
          <w:color w:val="333333"/>
          <w:sz w:val="24"/>
          <w:szCs w:val="24"/>
        </w:rPr>
        <w:t xml:space="preserve">Sen, T. and Trebesch, C. 2004. The </w:t>
      </w:r>
      <w:hyperlink r:id="rId29" w:history="1">
        <w:r w:rsidRPr="00903BCB">
          <w:rPr>
            <w:rStyle w:val="Hyperlink"/>
            <w:bCs/>
            <w:color w:val="auto"/>
            <w:sz w:val="24"/>
            <w:szCs w:val="24"/>
            <w:u w:val="none"/>
          </w:rPr>
          <w:t>Use of Socio-Economic Criteria for Intergovernmental Transfers: The case of India</w:t>
        </w:r>
      </w:hyperlink>
      <w:r w:rsidRPr="00903BCB">
        <w:rPr>
          <w:sz w:val="24"/>
          <w:szCs w:val="24"/>
        </w:rPr>
        <w:t>.</w:t>
      </w:r>
      <w:r w:rsidRPr="00903BCB">
        <w:rPr>
          <w:color w:val="333333"/>
          <w:sz w:val="24"/>
          <w:szCs w:val="24"/>
        </w:rPr>
        <w:t xml:space="preserve"> </w:t>
      </w:r>
      <w:hyperlink r:id="rId30" w:history="1">
        <w:r w:rsidRPr="00903BCB">
          <w:rPr>
            <w:rStyle w:val="Hyperlink"/>
            <w:i/>
            <w:color w:val="auto"/>
            <w:sz w:val="24"/>
            <w:szCs w:val="24"/>
            <w:u w:val="none"/>
          </w:rPr>
          <w:t>Working Papers</w:t>
        </w:r>
      </w:hyperlink>
      <w:r w:rsidRPr="00903BCB">
        <w:rPr>
          <w:i/>
          <w:color w:val="333333"/>
          <w:sz w:val="24"/>
          <w:szCs w:val="24"/>
        </w:rPr>
        <w:t xml:space="preserve"> 04/10, National Institute of Public Finance and Policy</w:t>
      </w:r>
      <w:r w:rsidRPr="00903BCB">
        <w:rPr>
          <w:color w:val="333333"/>
          <w:sz w:val="24"/>
          <w:szCs w:val="24"/>
        </w:rPr>
        <w:t xml:space="preserve">. </w:t>
      </w:r>
    </w:p>
    <w:p w14:paraId="0B1B4727" w14:textId="04F559A7" w:rsidR="00A95D89" w:rsidRPr="00903BCB" w:rsidRDefault="00A95D89" w:rsidP="00A95D89">
      <w:pPr>
        <w:spacing w:after="240"/>
        <w:ind w:left="720" w:right="0" w:hanging="720"/>
        <w:jc w:val="left"/>
        <w:rPr>
          <w:sz w:val="24"/>
          <w:szCs w:val="24"/>
          <w:lang w:val="en-GB"/>
        </w:rPr>
      </w:pPr>
      <w:r w:rsidRPr="00903BCB">
        <w:rPr>
          <w:sz w:val="24"/>
          <w:szCs w:val="24"/>
          <w:lang w:val="en-GB"/>
        </w:rPr>
        <w:t>SOFRECO. 2010. Building Development Capacities of Jordanian Municipalities: Baladiaty. Report for the European Union-Delegation-Jordan: EuropeAid/129887/C/SER/JO.</w:t>
      </w:r>
    </w:p>
    <w:p w14:paraId="520973CC" w14:textId="4C1D18A9" w:rsidR="00AB4828" w:rsidRPr="00903BCB" w:rsidRDefault="00AB4828" w:rsidP="00AB4828">
      <w:pPr>
        <w:spacing w:after="240"/>
        <w:ind w:left="720" w:right="0" w:hanging="720"/>
        <w:jc w:val="left"/>
        <w:rPr>
          <w:bCs/>
          <w:sz w:val="24"/>
          <w:szCs w:val="24"/>
        </w:rPr>
      </w:pPr>
      <w:r w:rsidRPr="00903BCB">
        <w:rPr>
          <w:sz w:val="24"/>
          <w:szCs w:val="24"/>
          <w:lang w:val="en-GB"/>
        </w:rPr>
        <w:t xml:space="preserve">Sylvain, B. 2002. </w:t>
      </w:r>
      <w:r w:rsidRPr="00903BCB">
        <w:rPr>
          <w:i/>
          <w:sz w:val="24"/>
          <w:szCs w:val="24"/>
          <w:lang w:val="en-GB"/>
        </w:rPr>
        <w:t>Decentralization and Reform in Africa</w:t>
      </w:r>
      <w:r w:rsidRPr="00903BCB">
        <w:rPr>
          <w:sz w:val="24"/>
          <w:szCs w:val="24"/>
          <w:lang w:val="en-GB"/>
        </w:rPr>
        <w:t>. Kluwer Academic Publisher, New York: NY</w:t>
      </w:r>
      <w:r w:rsidR="00624700" w:rsidRPr="00903BCB">
        <w:rPr>
          <w:sz w:val="24"/>
          <w:szCs w:val="24"/>
          <w:lang w:val="en-GB"/>
        </w:rPr>
        <w:t>.</w:t>
      </w:r>
    </w:p>
    <w:p w14:paraId="4FAC43CE" w14:textId="77777777" w:rsidR="00AB4828" w:rsidRPr="00903BCB" w:rsidRDefault="00AB4828" w:rsidP="00AB4828">
      <w:pPr>
        <w:spacing w:after="240"/>
        <w:ind w:left="720" w:right="0" w:hanging="720"/>
        <w:jc w:val="left"/>
        <w:rPr>
          <w:i/>
          <w:sz w:val="24"/>
          <w:szCs w:val="24"/>
          <w:lang w:val="en-GB"/>
        </w:rPr>
      </w:pPr>
      <w:r w:rsidRPr="00903BCB">
        <w:rPr>
          <w:sz w:val="24"/>
          <w:szCs w:val="24"/>
          <w:lang w:val="en-GB"/>
        </w:rPr>
        <w:t xml:space="preserve">United Nations Development Program (UNDP). 2005. Fiscal Decentralization in Transition Economies: Case Studies from the Balkans and Caucasus. </w:t>
      </w:r>
      <w:r w:rsidRPr="00903BCB">
        <w:rPr>
          <w:i/>
          <w:sz w:val="24"/>
          <w:szCs w:val="24"/>
          <w:lang w:val="en-GB"/>
        </w:rPr>
        <w:t xml:space="preserve">UNDP, </w:t>
      </w:r>
      <w:r w:rsidRPr="00903BCB">
        <w:rPr>
          <w:bCs/>
          <w:iCs/>
          <w:sz w:val="24"/>
          <w:szCs w:val="24"/>
        </w:rPr>
        <w:t>New York: NY</w:t>
      </w:r>
      <w:r w:rsidRPr="00903BCB">
        <w:rPr>
          <w:sz w:val="24"/>
          <w:szCs w:val="24"/>
          <w:lang w:val="en-GB"/>
        </w:rPr>
        <w:t>.</w:t>
      </w:r>
    </w:p>
    <w:p w14:paraId="34B38FF8" w14:textId="77777777" w:rsidR="00AB4828" w:rsidRPr="00903BCB" w:rsidRDefault="00AB4828" w:rsidP="00AB4828">
      <w:pPr>
        <w:spacing w:after="240"/>
        <w:ind w:left="720" w:right="0" w:hanging="720"/>
        <w:jc w:val="left"/>
        <w:rPr>
          <w:sz w:val="24"/>
          <w:szCs w:val="24"/>
          <w:lang w:val="en-GB"/>
        </w:rPr>
      </w:pPr>
      <w:r w:rsidRPr="00903BCB">
        <w:rPr>
          <w:i/>
          <w:iCs/>
          <w:sz w:val="24"/>
          <w:szCs w:val="24"/>
          <w:lang w:val="en-GB"/>
        </w:rPr>
        <w:t>___________________________________</w:t>
      </w:r>
      <w:r w:rsidRPr="00903BCB">
        <w:rPr>
          <w:i/>
          <w:iCs/>
          <w:sz w:val="24"/>
          <w:szCs w:val="24"/>
          <w:lang w:val="en-GB"/>
        </w:rPr>
        <w:softHyphen/>
      </w:r>
      <w:r w:rsidRPr="00903BCB">
        <w:rPr>
          <w:i/>
          <w:iCs/>
          <w:sz w:val="24"/>
          <w:szCs w:val="24"/>
          <w:lang w:val="en-GB"/>
        </w:rPr>
        <w:softHyphen/>
      </w:r>
      <w:r w:rsidRPr="00903BCB">
        <w:rPr>
          <w:i/>
          <w:iCs/>
          <w:sz w:val="24"/>
          <w:szCs w:val="24"/>
          <w:lang w:val="en-GB"/>
        </w:rPr>
        <w:softHyphen/>
        <w:t>___</w:t>
      </w:r>
      <w:r w:rsidRPr="00903BCB">
        <w:rPr>
          <w:sz w:val="24"/>
          <w:szCs w:val="24"/>
          <w:lang w:val="en-GB"/>
        </w:rPr>
        <w:t>. 2009</w:t>
      </w:r>
      <w:r w:rsidRPr="00903BCB">
        <w:rPr>
          <w:bCs/>
          <w:sz w:val="24"/>
          <w:szCs w:val="24"/>
        </w:rPr>
        <w:t>. The Future of Decentralization in Jordan</w:t>
      </w:r>
      <w:r w:rsidRPr="00903BCB">
        <w:rPr>
          <w:sz w:val="24"/>
          <w:szCs w:val="24"/>
          <w:lang w:val="en-GB"/>
        </w:rPr>
        <w:t xml:space="preserve">. </w:t>
      </w:r>
      <w:r w:rsidRPr="00903BCB">
        <w:rPr>
          <w:i/>
          <w:sz w:val="24"/>
          <w:szCs w:val="24"/>
          <w:lang w:val="en-GB"/>
        </w:rPr>
        <w:t xml:space="preserve">UNDP, </w:t>
      </w:r>
      <w:r w:rsidRPr="00903BCB">
        <w:rPr>
          <w:bCs/>
          <w:iCs/>
          <w:sz w:val="24"/>
          <w:szCs w:val="24"/>
        </w:rPr>
        <w:t>New York: NY</w:t>
      </w:r>
      <w:r w:rsidRPr="00903BCB">
        <w:rPr>
          <w:sz w:val="24"/>
          <w:szCs w:val="24"/>
          <w:lang w:val="en-GB"/>
        </w:rPr>
        <w:t>.</w:t>
      </w:r>
    </w:p>
    <w:p w14:paraId="01A72F31" w14:textId="6833F84F" w:rsidR="003E7FD4" w:rsidRPr="00903BCB" w:rsidRDefault="00A41072" w:rsidP="004B0654">
      <w:pPr>
        <w:ind w:left="720" w:right="-90" w:hanging="720"/>
        <w:rPr>
          <w:sz w:val="24"/>
          <w:szCs w:val="24"/>
        </w:rPr>
      </w:pPr>
      <w:r w:rsidRPr="00903BCB">
        <w:rPr>
          <w:sz w:val="24"/>
          <w:szCs w:val="24"/>
        </w:rPr>
        <w:t xml:space="preserve">Yilmaz, S. and Guner, A. 2013. Local Government Discretion and Accountability in Turkey. </w:t>
      </w:r>
      <w:r w:rsidRPr="00903BCB">
        <w:rPr>
          <w:i/>
          <w:sz w:val="24"/>
          <w:szCs w:val="24"/>
        </w:rPr>
        <w:t>Public Administration Development</w:t>
      </w:r>
      <w:r w:rsidRPr="00903BCB">
        <w:rPr>
          <w:sz w:val="24"/>
          <w:szCs w:val="24"/>
        </w:rPr>
        <w:t>. 33: 125–142.</w:t>
      </w:r>
    </w:p>
    <w:p w14:paraId="05AF6869" w14:textId="04478BF0" w:rsidR="000C6E6C" w:rsidRPr="00903BCB" w:rsidRDefault="000C6E6C" w:rsidP="003E7FD4">
      <w:pPr>
        <w:spacing w:after="240"/>
        <w:ind w:left="0" w:right="0"/>
        <w:jc w:val="left"/>
        <w:rPr>
          <w:sz w:val="24"/>
          <w:szCs w:val="24"/>
        </w:rPr>
      </w:pPr>
    </w:p>
    <w:sectPr w:rsidR="000C6E6C" w:rsidRPr="00903BCB" w:rsidSect="00723B6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C80C2" w14:textId="77777777" w:rsidR="00F25273" w:rsidRDefault="00F25273" w:rsidP="00E90853">
      <w:r>
        <w:separator/>
      </w:r>
    </w:p>
  </w:endnote>
  <w:endnote w:type="continuationSeparator" w:id="0">
    <w:p w14:paraId="5195C351" w14:textId="77777777" w:rsidR="00F25273" w:rsidRDefault="00F25273" w:rsidP="00E9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ngsana New">
    <w:panose1 w:val="00000000000000000000"/>
    <w:charset w:val="DE"/>
    <w:family w:val="roman"/>
    <w:notTrueType/>
    <w:pitch w:val="variable"/>
    <w:sig w:usb0="01000001" w:usb1="00000000" w:usb2="00000000" w:usb3="00000000" w:csb0="00010000" w:csb1="00000000"/>
  </w:font>
  <w:font w:name="Noteworthy Bold">
    <w:panose1 w:val="02000400000000000000"/>
    <w:charset w:val="00"/>
    <w:family w:val="auto"/>
    <w:pitch w:val="variable"/>
    <w:sig w:usb0="8000006F" w:usb1="08000048" w:usb2="14600000" w:usb3="00000000" w:csb0="00000111" w:csb1="00000000"/>
  </w:font>
  <w:font w:name="Menlo Regular">
    <w:panose1 w:val="020B0609030804020204"/>
    <w:charset w:val="00"/>
    <w:family w:val="auto"/>
    <w:pitch w:val="variable"/>
    <w:sig w:usb0="E60022FF" w:usb1="D200F9FB" w:usb2="02000028" w:usb3="00000000" w:csb0="000001D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88F6" w14:textId="77777777" w:rsidR="00F25273" w:rsidRPr="002B38C1" w:rsidRDefault="00F25273" w:rsidP="00B6005E">
    <w:pPr>
      <w:pStyle w:val="Footer"/>
      <w:jc w:val="center"/>
      <w:rPr>
        <w:rFonts w:cs="Calibri"/>
        <w:color w:val="808080"/>
        <w:sz w:val="24"/>
        <w:szCs w:val="24"/>
      </w:rPr>
    </w:pPr>
    <w:r w:rsidRPr="002B38C1">
      <w:rPr>
        <w:rFonts w:cs="Calibri"/>
        <w:sz w:val="24"/>
        <w:szCs w:val="24"/>
      </w:rPr>
      <w:fldChar w:fldCharType="begin"/>
    </w:r>
    <w:r w:rsidRPr="002B38C1">
      <w:rPr>
        <w:rFonts w:cs="Calibri"/>
        <w:sz w:val="24"/>
        <w:szCs w:val="24"/>
      </w:rPr>
      <w:instrText xml:space="preserve"> PAGE   \* MERGEFORMAT </w:instrText>
    </w:r>
    <w:r w:rsidRPr="002B38C1">
      <w:rPr>
        <w:rFonts w:cs="Calibri"/>
        <w:sz w:val="24"/>
        <w:szCs w:val="24"/>
      </w:rPr>
      <w:fldChar w:fldCharType="separate"/>
    </w:r>
    <w:r w:rsidR="00BC377F">
      <w:rPr>
        <w:rFonts w:cs="Calibri"/>
        <w:noProof/>
        <w:sz w:val="24"/>
        <w:szCs w:val="24"/>
      </w:rPr>
      <w:t>1</w:t>
    </w:r>
    <w:r w:rsidRPr="002B38C1">
      <w:rPr>
        <w:rFonts w:cs="Calibri"/>
        <w:sz w:val="24"/>
        <w:szCs w:val="24"/>
      </w:rPr>
      <w:fldChar w:fldCharType="end"/>
    </w:r>
  </w:p>
  <w:p w14:paraId="0CEF249B" w14:textId="77777777" w:rsidR="00F25273" w:rsidRPr="00D23937" w:rsidRDefault="00F25273" w:rsidP="00E908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AE89" w14:textId="77777777" w:rsidR="00F25273" w:rsidRPr="002B38C1" w:rsidRDefault="00F25273" w:rsidP="00B6005E">
    <w:pPr>
      <w:pStyle w:val="Footer"/>
      <w:jc w:val="center"/>
      <w:rPr>
        <w:rFonts w:cs="Calibri"/>
        <w:color w:val="808080"/>
        <w:sz w:val="24"/>
        <w:szCs w:val="24"/>
      </w:rPr>
    </w:pPr>
    <w:r w:rsidRPr="002B38C1">
      <w:rPr>
        <w:rFonts w:cs="Calibri"/>
        <w:sz w:val="24"/>
        <w:szCs w:val="24"/>
      </w:rPr>
      <w:fldChar w:fldCharType="begin"/>
    </w:r>
    <w:r w:rsidRPr="002B38C1">
      <w:rPr>
        <w:rFonts w:cs="Calibri"/>
        <w:sz w:val="24"/>
        <w:szCs w:val="24"/>
      </w:rPr>
      <w:instrText xml:space="preserve"> PAGE   \* MERGEFORMAT </w:instrText>
    </w:r>
    <w:r w:rsidRPr="002B38C1">
      <w:rPr>
        <w:rFonts w:cs="Calibri"/>
        <w:sz w:val="24"/>
        <w:szCs w:val="24"/>
      </w:rPr>
      <w:fldChar w:fldCharType="separate"/>
    </w:r>
    <w:r w:rsidR="00BC377F">
      <w:rPr>
        <w:rFonts w:cs="Calibri"/>
        <w:noProof/>
        <w:sz w:val="24"/>
        <w:szCs w:val="24"/>
      </w:rPr>
      <w:t>34</w:t>
    </w:r>
    <w:r w:rsidRPr="002B38C1">
      <w:rPr>
        <w:rFonts w:cs="Calibri"/>
        <w:sz w:val="24"/>
        <w:szCs w:val="24"/>
      </w:rPr>
      <w:fldChar w:fldCharType="end"/>
    </w:r>
  </w:p>
  <w:p w14:paraId="796F9655" w14:textId="77777777" w:rsidR="00F25273" w:rsidRPr="00D23937" w:rsidRDefault="00F25273" w:rsidP="00E908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651D7" w14:textId="77777777" w:rsidR="00F25273" w:rsidRDefault="00F25273" w:rsidP="00E90853">
      <w:r>
        <w:separator/>
      </w:r>
    </w:p>
  </w:footnote>
  <w:footnote w:type="continuationSeparator" w:id="0">
    <w:p w14:paraId="0E1AE1E9" w14:textId="77777777" w:rsidR="00F25273" w:rsidRDefault="00F25273" w:rsidP="00E90853">
      <w:r>
        <w:continuationSeparator/>
      </w:r>
    </w:p>
  </w:footnote>
  <w:footnote w:id="1">
    <w:p w14:paraId="71529E11" w14:textId="77777777" w:rsidR="00F25273" w:rsidRPr="00903BCB" w:rsidRDefault="00F25273" w:rsidP="008B684A">
      <w:pPr>
        <w:pStyle w:val="FootnoteText"/>
        <w:ind w:left="0" w:right="0"/>
        <w:jc w:val="left"/>
        <w:rPr>
          <w:lang w:val="en-US"/>
        </w:rPr>
      </w:pPr>
      <w:r w:rsidRPr="00903BCB">
        <w:rPr>
          <w:rStyle w:val="FootnoteReference"/>
        </w:rPr>
        <w:footnoteRef/>
      </w:r>
      <w:r w:rsidRPr="00903BCB">
        <w:t xml:space="preserve"> </w:t>
      </w:r>
      <w:r w:rsidRPr="00903BCB">
        <w:rPr>
          <w:color w:val="000000"/>
        </w:rPr>
        <w:t xml:space="preserve">His Majesty King Abdullah II’s website </w:t>
      </w:r>
      <w:hyperlink r:id="rId1" w:history="1">
        <w:r w:rsidRPr="00903BCB">
          <w:rPr>
            <w:rStyle w:val="Hyperlink"/>
          </w:rPr>
          <w:t>http://www.kingabdullah.jo/press_room/speechpage.php/</w:t>
        </w:r>
      </w:hyperlink>
      <w:r w:rsidRPr="00903BCB">
        <w:rPr>
          <w:color w:val="0000FF"/>
        </w:rPr>
        <w:t xml:space="preserve"> </w:t>
      </w:r>
      <w:r w:rsidRPr="00903BCB">
        <w:t>[Accessed on 11.10.2011].</w:t>
      </w:r>
    </w:p>
  </w:footnote>
  <w:footnote w:id="2">
    <w:p w14:paraId="0986F5AE" w14:textId="77777777" w:rsidR="00F25273" w:rsidRPr="00242F16" w:rsidRDefault="00F25273" w:rsidP="00320569">
      <w:pPr>
        <w:pStyle w:val="FootnoteText"/>
        <w:ind w:left="0" w:right="0"/>
        <w:rPr>
          <w:rFonts w:ascii="Calibri" w:hAnsi="Calibri" w:cs="Calibri"/>
          <w:sz w:val="18"/>
          <w:szCs w:val="18"/>
        </w:rPr>
      </w:pPr>
      <w:r w:rsidRPr="00903BCB">
        <w:rPr>
          <w:rStyle w:val="FootnoteReference"/>
        </w:rPr>
        <w:footnoteRef/>
      </w:r>
      <w:r w:rsidRPr="00903BCB">
        <w:t xml:space="preserve"> Jordan has approximately 6.133 million inhabitants (Jordanian Department of Statistics, 2010) distributed across twelve different Governorates headed by appointed governors. Governorates are administratively sub-divided into Municipalities, totaling 93 across the country.</w:t>
      </w:r>
    </w:p>
  </w:footnote>
  <w:footnote w:id="3">
    <w:p w14:paraId="198BBF4C" w14:textId="77777777" w:rsidR="00F25273" w:rsidRPr="00903BCB" w:rsidRDefault="00F25273" w:rsidP="00DC2E1C">
      <w:pPr>
        <w:pStyle w:val="FootnoteText"/>
        <w:ind w:left="0"/>
        <w:rPr>
          <w:lang w:val="en-US"/>
        </w:rPr>
      </w:pPr>
      <w:r w:rsidRPr="00903BCB">
        <w:rPr>
          <w:rStyle w:val="FootnoteReference"/>
        </w:rPr>
        <w:footnoteRef/>
      </w:r>
      <w:r w:rsidRPr="00903BCB">
        <w:t xml:space="preserve"> </w:t>
      </w:r>
      <w:r w:rsidRPr="00903BCB">
        <w:rPr>
          <w:lang w:val="en-US"/>
        </w:rPr>
        <w:t>Most recent information available.</w:t>
      </w:r>
    </w:p>
  </w:footnote>
  <w:footnote w:id="4">
    <w:p w14:paraId="70FDA4AA" w14:textId="32C44AC0" w:rsidR="00F25273" w:rsidRPr="00903BCB" w:rsidRDefault="00F25273" w:rsidP="008D2AB6">
      <w:pPr>
        <w:pStyle w:val="FootnoteText"/>
        <w:ind w:left="0" w:right="0"/>
        <w:jc w:val="left"/>
        <w:rPr>
          <w:lang w:val="en-US"/>
        </w:rPr>
      </w:pPr>
      <w:r w:rsidRPr="00903BCB">
        <w:rPr>
          <w:rStyle w:val="FootnoteReference"/>
        </w:rPr>
        <w:footnoteRef/>
      </w:r>
      <w:r w:rsidRPr="00903BCB">
        <w:t xml:space="preserve"> Source: </w:t>
      </w:r>
      <w:hyperlink r:id="rId2" w:history="1">
        <w:r w:rsidRPr="00903BCB">
          <w:rPr>
            <w:rStyle w:val="Hyperlink"/>
          </w:rPr>
          <w:t>www.imf.org/external/pubs/ft/gfs/yearbook/2008/gfsy08.pdf</w:t>
        </w:r>
      </w:hyperlink>
      <w:r w:rsidRPr="00903BCB">
        <w:t xml:space="preserve"> [Accessed on 11.10.11].</w:t>
      </w:r>
    </w:p>
  </w:footnote>
  <w:footnote w:id="5">
    <w:p w14:paraId="1F5FC2F3" w14:textId="77777777" w:rsidR="00F25273" w:rsidRPr="00DC2E1C" w:rsidRDefault="00F25273" w:rsidP="00B74B7C">
      <w:pPr>
        <w:spacing w:line="360" w:lineRule="auto"/>
        <w:ind w:left="0" w:right="0"/>
        <w:rPr>
          <w:rFonts w:ascii="Calibri" w:hAnsi="Calibri" w:cs="Calibri"/>
          <w:sz w:val="24"/>
          <w:szCs w:val="24"/>
        </w:rPr>
      </w:pPr>
      <w:r w:rsidRPr="00750D2A">
        <w:rPr>
          <w:rStyle w:val="FootnoteReference"/>
          <w:rFonts w:ascii="Calibri" w:hAnsi="Calibri"/>
          <w:sz w:val="20"/>
          <w:szCs w:val="20"/>
        </w:rPr>
        <w:footnoteRef/>
      </w:r>
      <w:r w:rsidRPr="00750D2A">
        <w:rPr>
          <w:rFonts w:ascii="Calibri" w:hAnsi="Calibri"/>
          <w:sz w:val="20"/>
          <w:szCs w:val="20"/>
        </w:rPr>
        <w:t xml:space="preserve"> </w:t>
      </w:r>
      <w:r w:rsidRPr="00522248">
        <w:rPr>
          <w:rFonts w:ascii="Calibri" w:hAnsi="Calibri"/>
          <w:sz w:val="20"/>
          <w:szCs w:val="20"/>
        </w:rPr>
        <w:t xml:space="preserve">Source: </w:t>
      </w:r>
      <w:hyperlink r:id="rId3" w:history="1">
        <w:r w:rsidRPr="00522248">
          <w:rPr>
            <w:rFonts w:ascii="Calibri" w:hAnsi="Calibri" w:cs="Calibri"/>
            <w:color w:val="0000FF"/>
            <w:sz w:val="20"/>
            <w:szCs w:val="20"/>
            <w:u w:val="single" w:color="0000FF"/>
          </w:rPr>
          <w:t>http://www.mma.gov.jo/MunicipalDB/Criteria.aspx</w:t>
        </w:r>
      </w:hyperlink>
      <w:r w:rsidRPr="00522248">
        <w:rPr>
          <w:rFonts w:ascii="Calibri" w:hAnsi="Calibri"/>
          <w:sz w:val="20"/>
          <w:szCs w:val="20"/>
        </w:rPr>
        <w:t xml:space="preserve"> </w:t>
      </w:r>
      <w:r w:rsidRPr="00522248">
        <w:rPr>
          <w:rFonts w:ascii="Calibri" w:hAnsi="Calibri" w:cs="Calibri"/>
          <w:sz w:val="20"/>
          <w:szCs w:val="20"/>
        </w:rPr>
        <w:t xml:space="preserve">[Accessed </w:t>
      </w:r>
      <w:r>
        <w:rPr>
          <w:rFonts w:ascii="Calibri" w:hAnsi="Calibri" w:cs="Calibri"/>
          <w:sz w:val="20"/>
          <w:szCs w:val="20"/>
        </w:rPr>
        <w:t>on</w:t>
      </w:r>
      <w:r w:rsidRPr="00522248">
        <w:rPr>
          <w:rFonts w:ascii="Calibri" w:hAnsi="Calibri" w:cs="Calibri"/>
          <w:sz w:val="20"/>
          <w:szCs w:val="20"/>
        </w:rPr>
        <w:t xml:space="preserve"> 11.10.1</w:t>
      </w:r>
      <w:r>
        <w:rPr>
          <w:rFonts w:ascii="Calibri" w:hAnsi="Calibri" w:cs="Calibri"/>
          <w:sz w:val="20"/>
          <w:szCs w:val="20"/>
        </w:rPr>
        <w:t>2</w:t>
      </w:r>
      <w:r w:rsidRPr="00522248">
        <w:rPr>
          <w:rFonts w:ascii="Calibri" w:hAnsi="Calibri" w:cs="Calibri"/>
          <w:sz w:val="20"/>
          <w:szCs w:val="20"/>
        </w:rPr>
        <w:t>].</w:t>
      </w:r>
    </w:p>
  </w:footnote>
  <w:footnote w:id="6">
    <w:p w14:paraId="6E968B53" w14:textId="77C16C57" w:rsidR="00F25273" w:rsidRPr="00F25273" w:rsidRDefault="00F25273" w:rsidP="001F5B72">
      <w:pPr>
        <w:pStyle w:val="FootnoteText"/>
        <w:ind w:left="0" w:right="0"/>
        <w:rPr>
          <w:lang w:val="en-US"/>
        </w:rPr>
      </w:pPr>
      <w:r w:rsidRPr="00F25273">
        <w:rPr>
          <w:rStyle w:val="FootnoteReference"/>
        </w:rPr>
        <w:footnoteRef/>
      </w:r>
      <w:r w:rsidRPr="00F25273">
        <w:t xml:space="preserve"> </w:t>
      </w:r>
      <w:r w:rsidRPr="00F25273">
        <w:rPr>
          <w:lang w:val="en-US"/>
        </w:rPr>
        <w:t>Capital expenditures are the monetary amounts transferred from the central government to the governorate level to implement projects in social services sector (e.g., education, health, youth, environment), productivity sector (agriculture, tourism, industry) and infrastructure sector (water, sewage, transportations, public works, electricity).</w:t>
      </w:r>
    </w:p>
  </w:footnote>
  <w:footnote w:id="7">
    <w:p w14:paraId="206BEC0F" w14:textId="02B400C6" w:rsidR="00F25273" w:rsidRPr="00F25273" w:rsidRDefault="00F25273" w:rsidP="001F5B72">
      <w:pPr>
        <w:pStyle w:val="FootnoteText"/>
        <w:ind w:left="0"/>
        <w:rPr>
          <w:lang w:val="en-US"/>
        </w:rPr>
      </w:pPr>
      <w:r w:rsidRPr="00F25273">
        <w:rPr>
          <w:rStyle w:val="FootnoteReference"/>
        </w:rPr>
        <w:footnoteRef/>
      </w:r>
      <w:r w:rsidRPr="00F25273">
        <w:t xml:space="preserve"> Intergovernmental capital transfers data to prior 2009 were not available</w:t>
      </w:r>
      <w:r w:rsidRPr="00F25273">
        <w:rPr>
          <w:lang w:val="en-US"/>
        </w:rPr>
        <w:t xml:space="preserve">. </w:t>
      </w:r>
    </w:p>
  </w:footnote>
  <w:footnote w:id="8">
    <w:p w14:paraId="674BCD7E" w14:textId="77777777" w:rsidR="00F25273" w:rsidRPr="00F25273" w:rsidRDefault="00F25273" w:rsidP="00404FA1">
      <w:pPr>
        <w:ind w:left="0" w:right="0"/>
        <w:jc w:val="left"/>
        <w:rPr>
          <w:sz w:val="20"/>
          <w:szCs w:val="20"/>
        </w:rPr>
      </w:pPr>
      <w:r w:rsidRPr="00F25273">
        <w:rPr>
          <w:rStyle w:val="FootnoteReference"/>
          <w:sz w:val="20"/>
          <w:szCs w:val="20"/>
        </w:rPr>
        <w:footnoteRef/>
      </w:r>
      <w:r w:rsidRPr="00F25273">
        <w:rPr>
          <w:sz w:val="20"/>
          <w:szCs w:val="20"/>
        </w:rPr>
        <w:t xml:space="preserve"> Data are in current U.S. dollars prices: $21.9 billion (2008), $23.8 billion (2009), $26.4 billion (2010), $29.2 billion (2011 est.). Source: IMF at </w:t>
      </w:r>
      <w:hyperlink r:id="rId4" w:history="1">
        <w:r w:rsidRPr="00F25273">
          <w:rPr>
            <w:rStyle w:val="Hyperlink"/>
            <w:sz w:val="20"/>
            <w:szCs w:val="20"/>
          </w:rPr>
          <w:t>http://www.imf.org/external/pubs/ft/weo/2012/01/index.htm</w:t>
        </w:r>
      </w:hyperlink>
      <w:r w:rsidRPr="00F25273">
        <w:rPr>
          <w:sz w:val="20"/>
          <w:szCs w:val="20"/>
        </w:rPr>
        <w:t xml:space="preserve"> [Accessed 05.16.2012]. </w:t>
      </w:r>
    </w:p>
    <w:p w14:paraId="62175701" w14:textId="77777777" w:rsidR="00F25273" w:rsidRPr="00AF36DE" w:rsidRDefault="00F25273" w:rsidP="00404FA1">
      <w:pPr>
        <w:ind w:left="0" w:right="0"/>
        <w:jc w:val="left"/>
        <w:rPr>
          <w:rFonts w:ascii="Calibri" w:hAnsi="Calibri" w:cs="Calibri"/>
          <w:sz w:val="20"/>
          <w:szCs w:val="20"/>
        </w:rPr>
      </w:pPr>
    </w:p>
  </w:footnote>
  <w:footnote w:id="9">
    <w:p w14:paraId="3471A159" w14:textId="77777777" w:rsidR="00F25273" w:rsidRPr="00F25273" w:rsidRDefault="00F25273" w:rsidP="006A2454">
      <w:pPr>
        <w:pStyle w:val="FootnoteText"/>
        <w:ind w:left="0" w:right="0"/>
        <w:rPr>
          <w:lang w:val="en-US"/>
        </w:rPr>
      </w:pPr>
      <w:r w:rsidRPr="00F25273">
        <w:rPr>
          <w:rStyle w:val="FootnoteReference"/>
        </w:rPr>
        <w:footnoteRef/>
      </w:r>
      <w:r w:rsidRPr="00F25273">
        <w:rPr>
          <w:lang w:val="en-US"/>
        </w:rPr>
        <w:t>Central Bank of Jordan website.</w:t>
      </w:r>
      <w:r w:rsidRPr="00F25273">
        <w:t xml:space="preserve"> </w:t>
      </w:r>
      <w:hyperlink r:id="rId5" w:history="1">
        <w:r w:rsidRPr="00F25273">
          <w:rPr>
            <w:rStyle w:val="Hyperlink"/>
            <w:lang w:val="en-US"/>
          </w:rPr>
          <w:t>http://statisticaldb.cbj.gov.jo/index?action=level4&amp;page_no=0</w:t>
        </w:r>
      </w:hyperlink>
      <w:r w:rsidRPr="00F25273">
        <w:rPr>
          <w:lang w:val="en-US"/>
        </w:rPr>
        <w:t>. [Accessed 05.28.2012]</w:t>
      </w:r>
    </w:p>
  </w:footnote>
  <w:footnote w:id="10">
    <w:p w14:paraId="0647A0F6" w14:textId="37096982" w:rsidR="00F25273" w:rsidRPr="00F25273" w:rsidRDefault="00F25273" w:rsidP="00A65A73">
      <w:pPr>
        <w:pStyle w:val="FootnoteText"/>
        <w:ind w:left="0" w:right="0"/>
        <w:rPr>
          <w:lang w:val="en-US"/>
        </w:rPr>
      </w:pPr>
      <w:r w:rsidRPr="00F25273">
        <w:rPr>
          <w:rStyle w:val="FootnoteReference"/>
        </w:rPr>
        <w:footnoteRef/>
      </w:r>
      <w:r w:rsidRPr="00F25273">
        <w:t xml:space="preserve"> While </w:t>
      </w:r>
      <w:r w:rsidRPr="00F25273">
        <w:rPr>
          <w:lang w:val="en-US"/>
        </w:rPr>
        <w:t>some of the countries listed may also factor fiscal capacity in their transfers’ formula, our analysis is centered around needs-based indicators.</w:t>
      </w:r>
    </w:p>
  </w:footnote>
  <w:footnote w:id="11">
    <w:p w14:paraId="04F6B7BE" w14:textId="24D88B39" w:rsidR="00F25273" w:rsidRPr="00E014B6" w:rsidRDefault="00F25273" w:rsidP="0022313F">
      <w:pPr>
        <w:pStyle w:val="FootnoteText"/>
        <w:ind w:left="0" w:right="0"/>
        <w:rPr>
          <w:lang w:val="en-US"/>
        </w:rPr>
      </w:pPr>
      <w:r w:rsidRPr="00F25273">
        <w:rPr>
          <w:rStyle w:val="FootnoteReference"/>
        </w:rPr>
        <w:footnoteRef/>
      </w:r>
      <w:r w:rsidRPr="00F25273">
        <w:t xml:space="preserve"> </w:t>
      </w:r>
      <w:r w:rsidRPr="00F25273">
        <w:rPr>
          <w:lang w:val="en-US"/>
        </w:rPr>
        <w:t>The property tax is the only tax collected at the municipal level (not at the governorate level) according to the Property Tax Law No. 11 of the year 1954.</w:t>
      </w:r>
      <w:r>
        <w:rPr>
          <w:rFonts w:ascii="Calibri" w:hAnsi="Calibri" w:cs="Calibri"/>
          <w:lang w:val="en-US"/>
        </w:rPr>
        <w:t xml:space="preserve"> </w:t>
      </w:r>
    </w:p>
  </w:footnote>
  <w:footnote w:id="12">
    <w:p w14:paraId="07F3943F" w14:textId="77777777" w:rsidR="00F25273" w:rsidRPr="00F25273" w:rsidRDefault="00F25273" w:rsidP="00B95B09">
      <w:pPr>
        <w:pStyle w:val="FootnoteText"/>
        <w:ind w:firstLine="450"/>
      </w:pPr>
      <w:r w:rsidRPr="00F25273">
        <w:rPr>
          <w:rStyle w:val="FootnoteReference"/>
        </w:rPr>
        <w:footnoteRef/>
      </w:r>
      <w:r w:rsidRPr="00F25273">
        <w:t xml:space="preserve"> </w:t>
      </w:r>
      <w:r w:rsidRPr="00F25273">
        <w:rPr>
          <w:lang w:val="en-US"/>
        </w:rPr>
        <w:t>Most recent information available.</w:t>
      </w:r>
    </w:p>
  </w:footnote>
  <w:footnote w:id="13">
    <w:p w14:paraId="268AEC69" w14:textId="77777777" w:rsidR="00F25273" w:rsidRPr="00F25273" w:rsidRDefault="00F25273" w:rsidP="00A769DF">
      <w:pPr>
        <w:pStyle w:val="FootnoteText"/>
        <w:ind w:left="0" w:right="0"/>
        <w:rPr>
          <w:lang w:val="en-US"/>
        </w:rPr>
      </w:pPr>
      <w:r w:rsidRPr="00F25273">
        <w:rPr>
          <w:rStyle w:val="FootnoteReference"/>
        </w:rPr>
        <w:footnoteRef/>
      </w:r>
      <w:r w:rsidRPr="00F25273">
        <w:t xml:space="preserve"> </w:t>
      </w:r>
      <w:r w:rsidRPr="00F25273">
        <w:rPr>
          <w:lang w:val="en-US"/>
        </w:rPr>
        <w:t>These 23.11% correspond to the 134,193 thousands of dinars (i.e., difference between totals in Table 6) not allocated to any Governorate by M1 when minimizing the sum of absolute deviations between actual and adjusted transfers (153,559 thousands of dinars).</w:t>
      </w:r>
    </w:p>
  </w:footnote>
  <w:footnote w:id="14">
    <w:p w14:paraId="3A9C4279" w14:textId="0B205B0E" w:rsidR="00F25273" w:rsidRPr="00A82985" w:rsidRDefault="00F25273" w:rsidP="00C40D60">
      <w:pPr>
        <w:pStyle w:val="FootnoteText"/>
        <w:ind w:left="0" w:right="0"/>
        <w:rPr>
          <w:lang w:val="en-US"/>
        </w:rPr>
      </w:pPr>
      <w:r w:rsidRPr="00A82985">
        <w:rPr>
          <w:rStyle w:val="FootnoteReference"/>
        </w:rPr>
        <w:footnoteRef/>
      </w:r>
      <w:r w:rsidRPr="00A82985">
        <w:t xml:space="preserve"> The minimization approach to M1 imposed the constraint: all coefficients are positive.</w:t>
      </w:r>
    </w:p>
  </w:footnote>
  <w:footnote w:id="15">
    <w:p w14:paraId="17AEFCFE" w14:textId="380F3C8F" w:rsidR="00F25273" w:rsidRPr="00A82985" w:rsidRDefault="00F25273" w:rsidP="0013167E">
      <w:pPr>
        <w:pStyle w:val="FootnoteText"/>
        <w:ind w:left="0" w:right="0"/>
        <w:rPr>
          <w:lang w:val="en-US"/>
        </w:rPr>
      </w:pPr>
      <w:r w:rsidRPr="00A82985">
        <w:rPr>
          <w:rStyle w:val="FootnoteReference"/>
        </w:rPr>
        <w:footnoteRef/>
      </w:r>
      <w:r w:rsidRPr="00A82985">
        <w:t xml:space="preserve"> Contrary to the cases of poverty and unemployment, the curve estimation for area does not include the coefficient constant, since a hypothetical governorate of size zero would not exist and, thus, would not receive transfers.</w:t>
      </w:r>
    </w:p>
  </w:footnote>
  <w:footnote w:id="16">
    <w:p w14:paraId="2F2C585E" w14:textId="401F332A" w:rsidR="00F25273" w:rsidRPr="00D73DB2" w:rsidRDefault="00F25273" w:rsidP="0013167E">
      <w:pPr>
        <w:pStyle w:val="FootnoteText"/>
        <w:ind w:left="0" w:right="0"/>
        <w:rPr>
          <w:lang w:val="en-US"/>
        </w:rPr>
      </w:pPr>
      <w:r w:rsidRPr="00A82985">
        <w:rPr>
          <w:rStyle w:val="FootnoteReference"/>
        </w:rPr>
        <w:footnoteRef/>
      </w:r>
      <w:r w:rsidRPr="00A82985">
        <w:t xml:space="preserve"> The coefficient constant</w:t>
      </w:r>
      <w:r w:rsidRPr="00A82985">
        <w:rPr>
          <w:lang w:val="en-US"/>
        </w:rPr>
        <w:t xml:space="preserve"> is not included in this model since a hypothetical governorate characterized by zeros in all independent variables would obviously not receive any funds from the central government. Significance at 1% is denoted by *.</w:t>
      </w:r>
    </w:p>
  </w:footnote>
  <w:footnote w:id="17">
    <w:p w14:paraId="5346DB8C" w14:textId="77777777" w:rsidR="00F25273" w:rsidRPr="00BC377F" w:rsidRDefault="00F25273" w:rsidP="00FB2794">
      <w:pPr>
        <w:pStyle w:val="FootnoteText"/>
        <w:ind w:left="0" w:right="0"/>
        <w:rPr>
          <w:lang w:val="en-US"/>
        </w:rPr>
      </w:pPr>
      <w:r w:rsidRPr="00BC377F">
        <w:rPr>
          <w:rStyle w:val="FootnoteReference"/>
        </w:rPr>
        <w:footnoteRef/>
      </w:r>
      <w:r w:rsidRPr="00BC377F">
        <w:t xml:space="preserve"> </w:t>
      </w:r>
      <w:r w:rsidRPr="00BC377F">
        <w:rPr>
          <w:lang w:val="en-US"/>
        </w:rPr>
        <w:t>The degree of randomness; i.e., the variability of criteria from one year to the other, seems to be such that a model ran with the years 2009, 2010 and 2011 together did not produce statistical significant results.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6F69D" w14:textId="77777777" w:rsidR="00F25273" w:rsidRDefault="00F252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28A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C5DA2"/>
    <w:multiLevelType w:val="hybridMultilevel"/>
    <w:tmpl w:val="C156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6786C"/>
    <w:multiLevelType w:val="hybridMultilevel"/>
    <w:tmpl w:val="DC16E680"/>
    <w:lvl w:ilvl="0" w:tplc="B574C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948A3"/>
    <w:multiLevelType w:val="hybridMultilevel"/>
    <w:tmpl w:val="15AA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701BA"/>
    <w:multiLevelType w:val="hybridMultilevel"/>
    <w:tmpl w:val="208E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B2246"/>
    <w:multiLevelType w:val="multilevel"/>
    <w:tmpl w:val="01067B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8AD33E7"/>
    <w:multiLevelType w:val="hybridMultilevel"/>
    <w:tmpl w:val="01067BA8"/>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E250991"/>
    <w:multiLevelType w:val="hybridMultilevel"/>
    <w:tmpl w:val="114A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625B3"/>
    <w:multiLevelType w:val="hybridMultilevel"/>
    <w:tmpl w:val="DD1626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C0752"/>
    <w:multiLevelType w:val="multilevel"/>
    <w:tmpl w:val="FDE6F5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83F18A2"/>
    <w:multiLevelType w:val="hybridMultilevel"/>
    <w:tmpl w:val="7132F506"/>
    <w:lvl w:ilvl="0" w:tplc="D6BCA7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F6BC5"/>
    <w:multiLevelType w:val="hybridMultilevel"/>
    <w:tmpl w:val="42F04EB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3CC20FDB"/>
    <w:multiLevelType w:val="multilevel"/>
    <w:tmpl w:val="E894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E03E74"/>
    <w:multiLevelType w:val="hybridMultilevel"/>
    <w:tmpl w:val="E69C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26CD2"/>
    <w:multiLevelType w:val="hybridMultilevel"/>
    <w:tmpl w:val="1DD0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33113"/>
    <w:multiLevelType w:val="multilevel"/>
    <w:tmpl w:val="01067BA8"/>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6">
    <w:nsid w:val="499763AE"/>
    <w:multiLevelType w:val="hybridMultilevel"/>
    <w:tmpl w:val="CB52C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01616"/>
    <w:multiLevelType w:val="hybridMultilevel"/>
    <w:tmpl w:val="229AF024"/>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C650410"/>
    <w:multiLevelType w:val="hybridMultilevel"/>
    <w:tmpl w:val="F93A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9297E"/>
    <w:multiLevelType w:val="hybridMultilevel"/>
    <w:tmpl w:val="F4C2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91B62"/>
    <w:multiLevelType w:val="multilevel"/>
    <w:tmpl w:val="77A205E2"/>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4C72E8C"/>
    <w:multiLevelType w:val="hybridMultilevel"/>
    <w:tmpl w:val="F3E4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03F7F"/>
    <w:multiLevelType w:val="hybridMultilevel"/>
    <w:tmpl w:val="7EF85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640EC1"/>
    <w:multiLevelType w:val="hybridMultilevel"/>
    <w:tmpl w:val="7ECA7E8C"/>
    <w:lvl w:ilvl="0" w:tplc="ACFA7484">
      <w:start w:val="1"/>
      <w:numFmt w:val="decimal"/>
      <w:lvlText w:val="%1."/>
      <w:lvlJc w:val="left"/>
      <w:pPr>
        <w:ind w:left="105" w:hanging="555"/>
      </w:pPr>
      <w:rPr>
        <w:rFonts w:hint="default"/>
        <w:sz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4">
    <w:nsid w:val="61B47417"/>
    <w:multiLevelType w:val="hybridMultilevel"/>
    <w:tmpl w:val="3C26D3C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E97672D"/>
    <w:multiLevelType w:val="hybridMultilevel"/>
    <w:tmpl w:val="F21A7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E92EFF"/>
    <w:multiLevelType w:val="hybridMultilevel"/>
    <w:tmpl w:val="BF803C5A"/>
    <w:lvl w:ilvl="0" w:tplc="04090017">
      <w:start w:val="1"/>
      <w:numFmt w:val="lowerLetter"/>
      <w:lvlText w:val="%1)"/>
      <w:lvlJc w:val="left"/>
      <w:pPr>
        <w:tabs>
          <w:tab w:val="num" w:pos="720"/>
        </w:tabs>
        <w:ind w:left="720" w:hanging="360"/>
      </w:pPr>
    </w:lvl>
    <w:lvl w:ilvl="1" w:tplc="AF062C3E">
      <w:start w:val="1"/>
      <w:numFmt w:val="bullet"/>
      <w:lvlText w:val="-"/>
      <w:lvlJc w:val="left"/>
      <w:pPr>
        <w:tabs>
          <w:tab w:val="num" w:pos="1440"/>
        </w:tabs>
        <w:ind w:left="1440" w:hanging="360"/>
      </w:pPr>
      <w:rPr>
        <w:rFonts w:ascii="Times New Roman" w:eastAsia="SimSu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371073D"/>
    <w:multiLevelType w:val="multilevel"/>
    <w:tmpl w:val="C46847BC"/>
    <w:lvl w:ilvl="0">
      <w:start w:val="1"/>
      <w:numFmt w:val="decimal"/>
      <w:lvlText w:val="%1."/>
      <w:lvlJc w:val="left"/>
      <w:pPr>
        <w:ind w:left="-90" w:hanging="360"/>
      </w:pPr>
      <w:rPr>
        <w:rFonts w:cs="Times New Roman" w:hint="default"/>
      </w:rPr>
    </w:lvl>
    <w:lvl w:ilvl="1">
      <w:start w:val="1"/>
      <w:numFmt w:val="decimal"/>
      <w:isLgl/>
      <w:lvlText w:val="%1.%2"/>
      <w:lvlJc w:val="left"/>
      <w:pPr>
        <w:ind w:left="-45" w:hanging="405"/>
      </w:pPr>
      <w:rPr>
        <w:rFonts w:cs="Times New Roman" w:hint="default"/>
      </w:rPr>
    </w:lvl>
    <w:lvl w:ilvl="2">
      <w:start w:val="1"/>
      <w:numFmt w:val="decimal"/>
      <w:isLgl/>
      <w:lvlText w:val="%1.%2.%3"/>
      <w:lvlJc w:val="left"/>
      <w:pPr>
        <w:ind w:left="270" w:hanging="720"/>
      </w:pPr>
      <w:rPr>
        <w:rFonts w:cs="Times New Roman" w:hint="default"/>
      </w:rPr>
    </w:lvl>
    <w:lvl w:ilvl="3">
      <w:start w:val="1"/>
      <w:numFmt w:val="decimal"/>
      <w:isLgl/>
      <w:lvlText w:val="%1.%2.%3.%4"/>
      <w:lvlJc w:val="left"/>
      <w:pPr>
        <w:ind w:left="270" w:hanging="720"/>
      </w:pPr>
      <w:rPr>
        <w:rFonts w:cs="Times New Roman" w:hint="default"/>
      </w:rPr>
    </w:lvl>
    <w:lvl w:ilvl="4">
      <w:start w:val="1"/>
      <w:numFmt w:val="decimal"/>
      <w:isLgl/>
      <w:lvlText w:val="%1.%2.%3.%4.%5"/>
      <w:lvlJc w:val="left"/>
      <w:pPr>
        <w:ind w:left="630" w:hanging="1080"/>
      </w:pPr>
      <w:rPr>
        <w:rFonts w:cs="Times New Roman" w:hint="default"/>
      </w:rPr>
    </w:lvl>
    <w:lvl w:ilvl="5">
      <w:start w:val="1"/>
      <w:numFmt w:val="decimal"/>
      <w:isLgl/>
      <w:lvlText w:val="%1.%2.%3.%4.%5.%6"/>
      <w:lvlJc w:val="left"/>
      <w:pPr>
        <w:ind w:left="630" w:hanging="1080"/>
      </w:pPr>
      <w:rPr>
        <w:rFonts w:cs="Times New Roman" w:hint="default"/>
      </w:rPr>
    </w:lvl>
    <w:lvl w:ilvl="6">
      <w:start w:val="1"/>
      <w:numFmt w:val="decimal"/>
      <w:isLgl/>
      <w:lvlText w:val="%1.%2.%3.%4.%5.%6.%7"/>
      <w:lvlJc w:val="left"/>
      <w:pPr>
        <w:ind w:left="990" w:hanging="1440"/>
      </w:pPr>
      <w:rPr>
        <w:rFonts w:cs="Times New Roman" w:hint="default"/>
      </w:rPr>
    </w:lvl>
    <w:lvl w:ilvl="7">
      <w:start w:val="1"/>
      <w:numFmt w:val="decimal"/>
      <w:isLgl/>
      <w:lvlText w:val="%1.%2.%3.%4.%5.%6.%7.%8"/>
      <w:lvlJc w:val="left"/>
      <w:pPr>
        <w:ind w:left="990" w:hanging="1440"/>
      </w:pPr>
      <w:rPr>
        <w:rFonts w:cs="Times New Roman" w:hint="default"/>
      </w:rPr>
    </w:lvl>
    <w:lvl w:ilvl="8">
      <w:start w:val="1"/>
      <w:numFmt w:val="decimal"/>
      <w:isLgl/>
      <w:lvlText w:val="%1.%2.%3.%4.%5.%6.%7.%8.%9"/>
      <w:lvlJc w:val="left"/>
      <w:pPr>
        <w:ind w:left="1350" w:hanging="1800"/>
      </w:pPr>
      <w:rPr>
        <w:rFonts w:cs="Times New Roman" w:hint="default"/>
      </w:rPr>
    </w:lvl>
  </w:abstractNum>
  <w:abstractNum w:abstractNumId="28">
    <w:nsid w:val="76266723"/>
    <w:multiLevelType w:val="hybridMultilevel"/>
    <w:tmpl w:val="B57A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566BA"/>
    <w:multiLevelType w:val="hybridMultilevel"/>
    <w:tmpl w:val="C3042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A68E0"/>
    <w:multiLevelType w:val="hybridMultilevel"/>
    <w:tmpl w:val="7A3CAE3A"/>
    <w:lvl w:ilvl="0" w:tplc="53067546">
      <w:start w:val="1"/>
      <w:numFmt w:val="decimal"/>
      <w:lvlText w:val="%1."/>
      <w:lvlJc w:val="left"/>
      <w:pPr>
        <w:ind w:left="536" w:hanging="360"/>
      </w:pPr>
      <w:rPr>
        <w:rFonts w:cs="Cambria"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23"/>
  </w:num>
  <w:num w:numId="2">
    <w:abstractNumId w:val="16"/>
  </w:num>
  <w:num w:numId="3">
    <w:abstractNumId w:val="28"/>
  </w:num>
  <w:num w:numId="4">
    <w:abstractNumId w:val="7"/>
  </w:num>
  <w:num w:numId="5">
    <w:abstractNumId w:val="9"/>
  </w:num>
  <w:num w:numId="6">
    <w:abstractNumId w:val="20"/>
  </w:num>
  <w:num w:numId="7">
    <w:abstractNumId w:val="17"/>
  </w:num>
  <w:num w:numId="8">
    <w:abstractNumId w:val="6"/>
  </w:num>
  <w:num w:numId="9">
    <w:abstractNumId w:val="29"/>
  </w:num>
  <w:num w:numId="10">
    <w:abstractNumId w:val="2"/>
  </w:num>
  <w:num w:numId="11">
    <w:abstractNumId w:val="5"/>
  </w:num>
  <w:num w:numId="12">
    <w:abstractNumId w:val="14"/>
  </w:num>
  <w:num w:numId="13">
    <w:abstractNumId w:val="12"/>
  </w:num>
  <w:num w:numId="14">
    <w:abstractNumId w:val="19"/>
  </w:num>
  <w:num w:numId="15">
    <w:abstractNumId w:val="10"/>
  </w:num>
  <w:num w:numId="16">
    <w:abstractNumId w:val="8"/>
  </w:num>
  <w:num w:numId="17">
    <w:abstractNumId w:val="0"/>
  </w:num>
  <w:num w:numId="18">
    <w:abstractNumId w:val="24"/>
  </w:num>
  <w:num w:numId="19">
    <w:abstractNumId w:val="11"/>
  </w:num>
  <w:num w:numId="20">
    <w:abstractNumId w:val="3"/>
  </w:num>
  <w:num w:numId="21">
    <w:abstractNumId w:val="18"/>
  </w:num>
  <w:num w:numId="2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num>
  <w:num w:numId="25">
    <w:abstractNumId w:val="4"/>
  </w:num>
  <w:num w:numId="26">
    <w:abstractNumId w:val="22"/>
  </w:num>
  <w:num w:numId="27">
    <w:abstractNumId w:val="27"/>
  </w:num>
  <w:num w:numId="28">
    <w:abstractNumId w:val="25"/>
  </w:num>
  <w:num w:numId="29">
    <w:abstractNumId w:val="21"/>
  </w:num>
  <w:num w:numId="30">
    <w:abstractNumId w:val="26"/>
  </w:num>
  <w:num w:numId="31">
    <w:abstractNumId w:val="1"/>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E9"/>
    <w:rsid w:val="00000C56"/>
    <w:rsid w:val="00001BBE"/>
    <w:rsid w:val="0000290A"/>
    <w:rsid w:val="000034DF"/>
    <w:rsid w:val="00006F82"/>
    <w:rsid w:val="00007CF4"/>
    <w:rsid w:val="000120CA"/>
    <w:rsid w:val="000148AD"/>
    <w:rsid w:val="00015B7A"/>
    <w:rsid w:val="00020281"/>
    <w:rsid w:val="00020A4C"/>
    <w:rsid w:val="00020B28"/>
    <w:rsid w:val="00023005"/>
    <w:rsid w:val="00025F3E"/>
    <w:rsid w:val="00026A2F"/>
    <w:rsid w:val="00030BC0"/>
    <w:rsid w:val="00030C0A"/>
    <w:rsid w:val="000336BF"/>
    <w:rsid w:val="00035B50"/>
    <w:rsid w:val="000431ED"/>
    <w:rsid w:val="000466A1"/>
    <w:rsid w:val="000510A2"/>
    <w:rsid w:val="00051E00"/>
    <w:rsid w:val="00053813"/>
    <w:rsid w:val="000540D0"/>
    <w:rsid w:val="0005584F"/>
    <w:rsid w:val="00057E94"/>
    <w:rsid w:val="000609FB"/>
    <w:rsid w:val="00061FFE"/>
    <w:rsid w:val="000624C7"/>
    <w:rsid w:val="00063FD7"/>
    <w:rsid w:val="0006468A"/>
    <w:rsid w:val="0006516D"/>
    <w:rsid w:val="00065B6D"/>
    <w:rsid w:val="00065CEA"/>
    <w:rsid w:val="00065F95"/>
    <w:rsid w:val="00067FA9"/>
    <w:rsid w:val="0007022E"/>
    <w:rsid w:val="00070DA0"/>
    <w:rsid w:val="000718CF"/>
    <w:rsid w:val="0007250F"/>
    <w:rsid w:val="0007381B"/>
    <w:rsid w:val="00073A6C"/>
    <w:rsid w:val="00075684"/>
    <w:rsid w:val="00076FAB"/>
    <w:rsid w:val="00077718"/>
    <w:rsid w:val="00082980"/>
    <w:rsid w:val="00084959"/>
    <w:rsid w:val="00085182"/>
    <w:rsid w:val="00085984"/>
    <w:rsid w:val="00086068"/>
    <w:rsid w:val="000869A1"/>
    <w:rsid w:val="00086D08"/>
    <w:rsid w:val="00091636"/>
    <w:rsid w:val="0009317B"/>
    <w:rsid w:val="000933CF"/>
    <w:rsid w:val="000934DC"/>
    <w:rsid w:val="000945FF"/>
    <w:rsid w:val="0009588E"/>
    <w:rsid w:val="00096DE0"/>
    <w:rsid w:val="000A114A"/>
    <w:rsid w:val="000A505D"/>
    <w:rsid w:val="000A513A"/>
    <w:rsid w:val="000A56E2"/>
    <w:rsid w:val="000A5E8F"/>
    <w:rsid w:val="000A6E32"/>
    <w:rsid w:val="000A7768"/>
    <w:rsid w:val="000B0627"/>
    <w:rsid w:val="000B076A"/>
    <w:rsid w:val="000B3DAE"/>
    <w:rsid w:val="000B3F3F"/>
    <w:rsid w:val="000B4077"/>
    <w:rsid w:val="000B4A96"/>
    <w:rsid w:val="000B4E90"/>
    <w:rsid w:val="000B5C68"/>
    <w:rsid w:val="000B6D11"/>
    <w:rsid w:val="000B7BA0"/>
    <w:rsid w:val="000C021D"/>
    <w:rsid w:val="000C1DDE"/>
    <w:rsid w:val="000C4160"/>
    <w:rsid w:val="000C6C94"/>
    <w:rsid w:val="000C6DA9"/>
    <w:rsid w:val="000C6E6C"/>
    <w:rsid w:val="000C6FBA"/>
    <w:rsid w:val="000D01FD"/>
    <w:rsid w:val="000D0330"/>
    <w:rsid w:val="000D0905"/>
    <w:rsid w:val="000D0C31"/>
    <w:rsid w:val="000D47C6"/>
    <w:rsid w:val="000D4EB1"/>
    <w:rsid w:val="000D58F9"/>
    <w:rsid w:val="000D652D"/>
    <w:rsid w:val="000D6DB8"/>
    <w:rsid w:val="000D70A3"/>
    <w:rsid w:val="000E0AFB"/>
    <w:rsid w:val="000E245A"/>
    <w:rsid w:val="000E3E93"/>
    <w:rsid w:val="000E52C4"/>
    <w:rsid w:val="000E6E4B"/>
    <w:rsid w:val="000F21FE"/>
    <w:rsid w:val="000F29E0"/>
    <w:rsid w:val="000F47F6"/>
    <w:rsid w:val="000F491D"/>
    <w:rsid w:val="000F5238"/>
    <w:rsid w:val="000F6819"/>
    <w:rsid w:val="000F688A"/>
    <w:rsid w:val="000F6EC0"/>
    <w:rsid w:val="000F7E34"/>
    <w:rsid w:val="00100AE7"/>
    <w:rsid w:val="00100EA3"/>
    <w:rsid w:val="00103376"/>
    <w:rsid w:val="001050FB"/>
    <w:rsid w:val="00105A9A"/>
    <w:rsid w:val="001064A6"/>
    <w:rsid w:val="00106675"/>
    <w:rsid w:val="0010672C"/>
    <w:rsid w:val="00106BBF"/>
    <w:rsid w:val="001125D8"/>
    <w:rsid w:val="00114DED"/>
    <w:rsid w:val="001175C5"/>
    <w:rsid w:val="00121538"/>
    <w:rsid w:val="001225E7"/>
    <w:rsid w:val="00122871"/>
    <w:rsid w:val="001230A5"/>
    <w:rsid w:val="00123DC5"/>
    <w:rsid w:val="0012793B"/>
    <w:rsid w:val="001302AE"/>
    <w:rsid w:val="00130F85"/>
    <w:rsid w:val="0013167E"/>
    <w:rsid w:val="00133F3A"/>
    <w:rsid w:val="001350CB"/>
    <w:rsid w:val="001351B3"/>
    <w:rsid w:val="0014018C"/>
    <w:rsid w:val="00140230"/>
    <w:rsid w:val="00142299"/>
    <w:rsid w:val="001426AB"/>
    <w:rsid w:val="0014345A"/>
    <w:rsid w:val="00143B60"/>
    <w:rsid w:val="00144616"/>
    <w:rsid w:val="00145791"/>
    <w:rsid w:val="00145B5D"/>
    <w:rsid w:val="00146A8C"/>
    <w:rsid w:val="0015003C"/>
    <w:rsid w:val="00152ACD"/>
    <w:rsid w:val="00152FC5"/>
    <w:rsid w:val="001530EF"/>
    <w:rsid w:val="001536CD"/>
    <w:rsid w:val="0015370C"/>
    <w:rsid w:val="00153EF9"/>
    <w:rsid w:val="00154B91"/>
    <w:rsid w:val="00154EA7"/>
    <w:rsid w:val="00154F1C"/>
    <w:rsid w:val="00155034"/>
    <w:rsid w:val="001551F6"/>
    <w:rsid w:val="0015688D"/>
    <w:rsid w:val="00162F34"/>
    <w:rsid w:val="001632CC"/>
    <w:rsid w:val="00163856"/>
    <w:rsid w:val="00163C01"/>
    <w:rsid w:val="001651DC"/>
    <w:rsid w:val="00165ABD"/>
    <w:rsid w:val="00166FD8"/>
    <w:rsid w:val="001674F4"/>
    <w:rsid w:val="00167781"/>
    <w:rsid w:val="00170440"/>
    <w:rsid w:val="001715DF"/>
    <w:rsid w:val="00172924"/>
    <w:rsid w:val="001729CA"/>
    <w:rsid w:val="001752B8"/>
    <w:rsid w:val="0017627C"/>
    <w:rsid w:val="0017693B"/>
    <w:rsid w:val="00176A42"/>
    <w:rsid w:val="00176AD8"/>
    <w:rsid w:val="001804B0"/>
    <w:rsid w:val="00180B35"/>
    <w:rsid w:val="00180CCA"/>
    <w:rsid w:val="001813B2"/>
    <w:rsid w:val="001817F3"/>
    <w:rsid w:val="00181ED0"/>
    <w:rsid w:val="001823C5"/>
    <w:rsid w:val="00184253"/>
    <w:rsid w:val="001850F1"/>
    <w:rsid w:val="00186574"/>
    <w:rsid w:val="001900E2"/>
    <w:rsid w:val="00190DAB"/>
    <w:rsid w:val="001910AD"/>
    <w:rsid w:val="0019138A"/>
    <w:rsid w:val="00191B10"/>
    <w:rsid w:val="00192032"/>
    <w:rsid w:val="0019420B"/>
    <w:rsid w:val="00195ED4"/>
    <w:rsid w:val="001A039C"/>
    <w:rsid w:val="001A33B8"/>
    <w:rsid w:val="001A69EA"/>
    <w:rsid w:val="001A6FFF"/>
    <w:rsid w:val="001A7E73"/>
    <w:rsid w:val="001A7EA5"/>
    <w:rsid w:val="001B04D0"/>
    <w:rsid w:val="001B642B"/>
    <w:rsid w:val="001B75F1"/>
    <w:rsid w:val="001B7852"/>
    <w:rsid w:val="001C1A7B"/>
    <w:rsid w:val="001C1CE4"/>
    <w:rsid w:val="001C2468"/>
    <w:rsid w:val="001C24F4"/>
    <w:rsid w:val="001C47C7"/>
    <w:rsid w:val="001C4858"/>
    <w:rsid w:val="001C4DDA"/>
    <w:rsid w:val="001C4FBB"/>
    <w:rsid w:val="001D01C0"/>
    <w:rsid w:val="001D0415"/>
    <w:rsid w:val="001D076D"/>
    <w:rsid w:val="001D173D"/>
    <w:rsid w:val="001D179B"/>
    <w:rsid w:val="001D1B75"/>
    <w:rsid w:val="001D57DB"/>
    <w:rsid w:val="001D5CEE"/>
    <w:rsid w:val="001D5F4D"/>
    <w:rsid w:val="001E2A51"/>
    <w:rsid w:val="001E6D3A"/>
    <w:rsid w:val="001E7E70"/>
    <w:rsid w:val="001F0A08"/>
    <w:rsid w:val="001F1379"/>
    <w:rsid w:val="001F18E9"/>
    <w:rsid w:val="001F2AE9"/>
    <w:rsid w:val="001F2F50"/>
    <w:rsid w:val="001F352F"/>
    <w:rsid w:val="001F3BB6"/>
    <w:rsid w:val="001F567E"/>
    <w:rsid w:val="001F5B72"/>
    <w:rsid w:val="001F7420"/>
    <w:rsid w:val="001F7ADB"/>
    <w:rsid w:val="00203ACF"/>
    <w:rsid w:val="0020650D"/>
    <w:rsid w:val="00206C33"/>
    <w:rsid w:val="00210107"/>
    <w:rsid w:val="00213E57"/>
    <w:rsid w:val="00214790"/>
    <w:rsid w:val="002166D5"/>
    <w:rsid w:val="00216B7E"/>
    <w:rsid w:val="00217B34"/>
    <w:rsid w:val="00220C82"/>
    <w:rsid w:val="00222CE2"/>
    <w:rsid w:val="0022313F"/>
    <w:rsid w:val="00223BC3"/>
    <w:rsid w:val="00223CB8"/>
    <w:rsid w:val="0023001E"/>
    <w:rsid w:val="002305A7"/>
    <w:rsid w:val="00233AC1"/>
    <w:rsid w:val="002352FF"/>
    <w:rsid w:val="00235D6F"/>
    <w:rsid w:val="0024126E"/>
    <w:rsid w:val="00242F16"/>
    <w:rsid w:val="00244725"/>
    <w:rsid w:val="002447BD"/>
    <w:rsid w:val="00244DAD"/>
    <w:rsid w:val="00244FCF"/>
    <w:rsid w:val="00245F63"/>
    <w:rsid w:val="00246289"/>
    <w:rsid w:val="00250E80"/>
    <w:rsid w:val="002510F0"/>
    <w:rsid w:val="002513C2"/>
    <w:rsid w:val="00251FE7"/>
    <w:rsid w:val="002524B7"/>
    <w:rsid w:val="002527C1"/>
    <w:rsid w:val="002529CA"/>
    <w:rsid w:val="0025490B"/>
    <w:rsid w:val="00257E8C"/>
    <w:rsid w:val="0026041D"/>
    <w:rsid w:val="00262C1F"/>
    <w:rsid w:val="0026342E"/>
    <w:rsid w:val="0026347D"/>
    <w:rsid w:val="002639C6"/>
    <w:rsid w:val="00267F98"/>
    <w:rsid w:val="0027012D"/>
    <w:rsid w:val="002706CC"/>
    <w:rsid w:val="00272F1D"/>
    <w:rsid w:val="00272F61"/>
    <w:rsid w:val="00273F72"/>
    <w:rsid w:val="00273FDA"/>
    <w:rsid w:val="00274275"/>
    <w:rsid w:val="002757B5"/>
    <w:rsid w:val="00276527"/>
    <w:rsid w:val="00276FE3"/>
    <w:rsid w:val="0027787E"/>
    <w:rsid w:val="002803C2"/>
    <w:rsid w:val="00280EA9"/>
    <w:rsid w:val="00281571"/>
    <w:rsid w:val="002831E7"/>
    <w:rsid w:val="0028798C"/>
    <w:rsid w:val="00287B32"/>
    <w:rsid w:val="002908A3"/>
    <w:rsid w:val="00290AC4"/>
    <w:rsid w:val="00293575"/>
    <w:rsid w:val="00293739"/>
    <w:rsid w:val="0029529B"/>
    <w:rsid w:val="0029593F"/>
    <w:rsid w:val="002965BC"/>
    <w:rsid w:val="00296EDA"/>
    <w:rsid w:val="002A11BB"/>
    <w:rsid w:val="002A28A6"/>
    <w:rsid w:val="002A3851"/>
    <w:rsid w:val="002A4A7C"/>
    <w:rsid w:val="002A5051"/>
    <w:rsid w:val="002A535D"/>
    <w:rsid w:val="002A677E"/>
    <w:rsid w:val="002B0DA3"/>
    <w:rsid w:val="002B19E8"/>
    <w:rsid w:val="002B1A69"/>
    <w:rsid w:val="002B2925"/>
    <w:rsid w:val="002B37D2"/>
    <w:rsid w:val="002B38C1"/>
    <w:rsid w:val="002B3D20"/>
    <w:rsid w:val="002B4C3F"/>
    <w:rsid w:val="002B7524"/>
    <w:rsid w:val="002C02FF"/>
    <w:rsid w:val="002C051E"/>
    <w:rsid w:val="002C0D16"/>
    <w:rsid w:val="002C25FF"/>
    <w:rsid w:val="002C283E"/>
    <w:rsid w:val="002C2D2A"/>
    <w:rsid w:val="002C3991"/>
    <w:rsid w:val="002C419C"/>
    <w:rsid w:val="002C7E95"/>
    <w:rsid w:val="002D1AC6"/>
    <w:rsid w:val="002D243F"/>
    <w:rsid w:val="002D445E"/>
    <w:rsid w:val="002D4E5D"/>
    <w:rsid w:val="002D689B"/>
    <w:rsid w:val="002D6CDC"/>
    <w:rsid w:val="002E0CB3"/>
    <w:rsid w:val="002E1F1F"/>
    <w:rsid w:val="002E3EA5"/>
    <w:rsid w:val="002E5576"/>
    <w:rsid w:val="002E5FCA"/>
    <w:rsid w:val="002E641D"/>
    <w:rsid w:val="002E74B3"/>
    <w:rsid w:val="002E75C8"/>
    <w:rsid w:val="002F0D2A"/>
    <w:rsid w:val="002F17B8"/>
    <w:rsid w:val="002F1C84"/>
    <w:rsid w:val="002F4268"/>
    <w:rsid w:val="002F541E"/>
    <w:rsid w:val="002F6874"/>
    <w:rsid w:val="00300410"/>
    <w:rsid w:val="00301253"/>
    <w:rsid w:val="00302F48"/>
    <w:rsid w:val="003038BC"/>
    <w:rsid w:val="00305F47"/>
    <w:rsid w:val="00306B8C"/>
    <w:rsid w:val="00306BA4"/>
    <w:rsid w:val="0030712E"/>
    <w:rsid w:val="00307C54"/>
    <w:rsid w:val="003104FA"/>
    <w:rsid w:val="00310AEE"/>
    <w:rsid w:val="00310CD6"/>
    <w:rsid w:val="00312FF9"/>
    <w:rsid w:val="00320569"/>
    <w:rsid w:val="00320628"/>
    <w:rsid w:val="00321DFA"/>
    <w:rsid w:val="00321FB4"/>
    <w:rsid w:val="003232A4"/>
    <w:rsid w:val="003233F4"/>
    <w:rsid w:val="003236F5"/>
    <w:rsid w:val="00323810"/>
    <w:rsid w:val="00324E9E"/>
    <w:rsid w:val="003273AF"/>
    <w:rsid w:val="00327B2F"/>
    <w:rsid w:val="0033008B"/>
    <w:rsid w:val="00331B1F"/>
    <w:rsid w:val="003349A5"/>
    <w:rsid w:val="003363A9"/>
    <w:rsid w:val="003368CB"/>
    <w:rsid w:val="003371A5"/>
    <w:rsid w:val="00337D46"/>
    <w:rsid w:val="0034013F"/>
    <w:rsid w:val="0034139E"/>
    <w:rsid w:val="00343C2E"/>
    <w:rsid w:val="00344AF7"/>
    <w:rsid w:val="0035091D"/>
    <w:rsid w:val="00351019"/>
    <w:rsid w:val="00352051"/>
    <w:rsid w:val="00353479"/>
    <w:rsid w:val="00355698"/>
    <w:rsid w:val="0035570B"/>
    <w:rsid w:val="00355F08"/>
    <w:rsid w:val="00361392"/>
    <w:rsid w:val="00362095"/>
    <w:rsid w:val="00363B02"/>
    <w:rsid w:val="00364370"/>
    <w:rsid w:val="00365BFE"/>
    <w:rsid w:val="003669C5"/>
    <w:rsid w:val="00366EBF"/>
    <w:rsid w:val="00367A7F"/>
    <w:rsid w:val="00370C2D"/>
    <w:rsid w:val="003712FE"/>
    <w:rsid w:val="00372165"/>
    <w:rsid w:val="003730E7"/>
    <w:rsid w:val="00376DE8"/>
    <w:rsid w:val="00376F12"/>
    <w:rsid w:val="00377A09"/>
    <w:rsid w:val="00381C32"/>
    <w:rsid w:val="0038258B"/>
    <w:rsid w:val="00382DE6"/>
    <w:rsid w:val="00384565"/>
    <w:rsid w:val="00384884"/>
    <w:rsid w:val="00384A89"/>
    <w:rsid w:val="0038627E"/>
    <w:rsid w:val="00387001"/>
    <w:rsid w:val="00387780"/>
    <w:rsid w:val="00391329"/>
    <w:rsid w:val="00391A70"/>
    <w:rsid w:val="00391C31"/>
    <w:rsid w:val="00393E9D"/>
    <w:rsid w:val="0039666D"/>
    <w:rsid w:val="003A040D"/>
    <w:rsid w:val="003A0592"/>
    <w:rsid w:val="003A05B9"/>
    <w:rsid w:val="003A0A75"/>
    <w:rsid w:val="003A0C07"/>
    <w:rsid w:val="003A1097"/>
    <w:rsid w:val="003A1207"/>
    <w:rsid w:val="003A1BD6"/>
    <w:rsid w:val="003A30BA"/>
    <w:rsid w:val="003A36C5"/>
    <w:rsid w:val="003A370E"/>
    <w:rsid w:val="003A39D2"/>
    <w:rsid w:val="003A5BB8"/>
    <w:rsid w:val="003A61DC"/>
    <w:rsid w:val="003A6D23"/>
    <w:rsid w:val="003B1DED"/>
    <w:rsid w:val="003B3A6C"/>
    <w:rsid w:val="003B5C83"/>
    <w:rsid w:val="003C199D"/>
    <w:rsid w:val="003C2ABB"/>
    <w:rsid w:val="003C6090"/>
    <w:rsid w:val="003C6FCC"/>
    <w:rsid w:val="003C76C9"/>
    <w:rsid w:val="003D1918"/>
    <w:rsid w:val="003D332C"/>
    <w:rsid w:val="003D39CB"/>
    <w:rsid w:val="003D3F1E"/>
    <w:rsid w:val="003D4B46"/>
    <w:rsid w:val="003D53BE"/>
    <w:rsid w:val="003D5584"/>
    <w:rsid w:val="003D5B2C"/>
    <w:rsid w:val="003D75F7"/>
    <w:rsid w:val="003D7611"/>
    <w:rsid w:val="003D7F07"/>
    <w:rsid w:val="003E18F0"/>
    <w:rsid w:val="003E1A4A"/>
    <w:rsid w:val="003E1E0C"/>
    <w:rsid w:val="003E3C70"/>
    <w:rsid w:val="003E3D8D"/>
    <w:rsid w:val="003E7FD4"/>
    <w:rsid w:val="003F0036"/>
    <w:rsid w:val="003F0E6C"/>
    <w:rsid w:val="003F20A2"/>
    <w:rsid w:val="003F3088"/>
    <w:rsid w:val="003F4BAD"/>
    <w:rsid w:val="003F71E6"/>
    <w:rsid w:val="00401445"/>
    <w:rsid w:val="00404F3B"/>
    <w:rsid w:val="00404FA1"/>
    <w:rsid w:val="00405069"/>
    <w:rsid w:val="004066F2"/>
    <w:rsid w:val="00406819"/>
    <w:rsid w:val="00407A9F"/>
    <w:rsid w:val="0041004F"/>
    <w:rsid w:val="00412130"/>
    <w:rsid w:val="00413453"/>
    <w:rsid w:val="0041516A"/>
    <w:rsid w:val="00415323"/>
    <w:rsid w:val="00416488"/>
    <w:rsid w:val="00416642"/>
    <w:rsid w:val="00416D08"/>
    <w:rsid w:val="0042475D"/>
    <w:rsid w:val="004263E8"/>
    <w:rsid w:val="00426F37"/>
    <w:rsid w:val="00430A50"/>
    <w:rsid w:val="00433447"/>
    <w:rsid w:val="004359FB"/>
    <w:rsid w:val="00441C80"/>
    <w:rsid w:val="00444547"/>
    <w:rsid w:val="00445576"/>
    <w:rsid w:val="00446358"/>
    <w:rsid w:val="00446419"/>
    <w:rsid w:val="004464FA"/>
    <w:rsid w:val="00447D70"/>
    <w:rsid w:val="004520C8"/>
    <w:rsid w:val="00453BD5"/>
    <w:rsid w:val="004547AE"/>
    <w:rsid w:val="004559D0"/>
    <w:rsid w:val="0045645F"/>
    <w:rsid w:val="00461C91"/>
    <w:rsid w:val="00461FCB"/>
    <w:rsid w:val="00466CE3"/>
    <w:rsid w:val="00470231"/>
    <w:rsid w:val="00472F02"/>
    <w:rsid w:val="004730F0"/>
    <w:rsid w:val="00473C36"/>
    <w:rsid w:val="004750A5"/>
    <w:rsid w:val="0047707E"/>
    <w:rsid w:val="00480462"/>
    <w:rsid w:val="00481E81"/>
    <w:rsid w:val="004827D6"/>
    <w:rsid w:val="004830CF"/>
    <w:rsid w:val="00485086"/>
    <w:rsid w:val="00486272"/>
    <w:rsid w:val="00487A34"/>
    <w:rsid w:val="00487B82"/>
    <w:rsid w:val="00490115"/>
    <w:rsid w:val="00491150"/>
    <w:rsid w:val="00491C10"/>
    <w:rsid w:val="00491C76"/>
    <w:rsid w:val="00491E45"/>
    <w:rsid w:val="00492701"/>
    <w:rsid w:val="004936E5"/>
    <w:rsid w:val="004940E5"/>
    <w:rsid w:val="0049575A"/>
    <w:rsid w:val="00495A00"/>
    <w:rsid w:val="004A042B"/>
    <w:rsid w:val="004A0B89"/>
    <w:rsid w:val="004A0CAB"/>
    <w:rsid w:val="004A1E50"/>
    <w:rsid w:val="004A282C"/>
    <w:rsid w:val="004A3F08"/>
    <w:rsid w:val="004A44F0"/>
    <w:rsid w:val="004A5ABB"/>
    <w:rsid w:val="004A6400"/>
    <w:rsid w:val="004A64ED"/>
    <w:rsid w:val="004A6A88"/>
    <w:rsid w:val="004A6CDA"/>
    <w:rsid w:val="004A7B0E"/>
    <w:rsid w:val="004B0654"/>
    <w:rsid w:val="004B0ABE"/>
    <w:rsid w:val="004B51CF"/>
    <w:rsid w:val="004B5DE5"/>
    <w:rsid w:val="004B64C5"/>
    <w:rsid w:val="004C003F"/>
    <w:rsid w:val="004C0650"/>
    <w:rsid w:val="004C1870"/>
    <w:rsid w:val="004C2F0A"/>
    <w:rsid w:val="004C3BD6"/>
    <w:rsid w:val="004C3D4C"/>
    <w:rsid w:val="004C508D"/>
    <w:rsid w:val="004C5403"/>
    <w:rsid w:val="004C5B66"/>
    <w:rsid w:val="004C5D3F"/>
    <w:rsid w:val="004C6978"/>
    <w:rsid w:val="004D0D2F"/>
    <w:rsid w:val="004D2B70"/>
    <w:rsid w:val="004D6E0B"/>
    <w:rsid w:val="004D6FB7"/>
    <w:rsid w:val="004D710D"/>
    <w:rsid w:val="004E0729"/>
    <w:rsid w:val="004E086C"/>
    <w:rsid w:val="004E2234"/>
    <w:rsid w:val="004E2F12"/>
    <w:rsid w:val="004E3487"/>
    <w:rsid w:val="004E4687"/>
    <w:rsid w:val="004E52D5"/>
    <w:rsid w:val="004E541B"/>
    <w:rsid w:val="004E77E7"/>
    <w:rsid w:val="004E7B51"/>
    <w:rsid w:val="004E7C6F"/>
    <w:rsid w:val="004F06B8"/>
    <w:rsid w:val="004F4495"/>
    <w:rsid w:val="004F6780"/>
    <w:rsid w:val="00500796"/>
    <w:rsid w:val="00500881"/>
    <w:rsid w:val="00500948"/>
    <w:rsid w:val="00501B8E"/>
    <w:rsid w:val="00504816"/>
    <w:rsid w:val="00510423"/>
    <w:rsid w:val="005119E1"/>
    <w:rsid w:val="00512F16"/>
    <w:rsid w:val="00513F79"/>
    <w:rsid w:val="00515C43"/>
    <w:rsid w:val="005201D9"/>
    <w:rsid w:val="005204D8"/>
    <w:rsid w:val="00522248"/>
    <w:rsid w:val="00522C5F"/>
    <w:rsid w:val="00523921"/>
    <w:rsid w:val="00524130"/>
    <w:rsid w:val="005247AF"/>
    <w:rsid w:val="005248B5"/>
    <w:rsid w:val="00524FF1"/>
    <w:rsid w:val="00525164"/>
    <w:rsid w:val="00525D51"/>
    <w:rsid w:val="00526BBF"/>
    <w:rsid w:val="00531C7A"/>
    <w:rsid w:val="0053213F"/>
    <w:rsid w:val="005323C3"/>
    <w:rsid w:val="00533A7D"/>
    <w:rsid w:val="00537AC3"/>
    <w:rsid w:val="00543E85"/>
    <w:rsid w:val="00545557"/>
    <w:rsid w:val="00547498"/>
    <w:rsid w:val="005501AD"/>
    <w:rsid w:val="00550EFE"/>
    <w:rsid w:val="005512E3"/>
    <w:rsid w:val="00552EF6"/>
    <w:rsid w:val="00555D55"/>
    <w:rsid w:val="00556E23"/>
    <w:rsid w:val="00560143"/>
    <w:rsid w:val="00560ABB"/>
    <w:rsid w:val="00561A61"/>
    <w:rsid w:val="00563570"/>
    <w:rsid w:val="00563C58"/>
    <w:rsid w:val="00564055"/>
    <w:rsid w:val="0056491F"/>
    <w:rsid w:val="00564AC8"/>
    <w:rsid w:val="005655D9"/>
    <w:rsid w:val="005658C4"/>
    <w:rsid w:val="00565BB6"/>
    <w:rsid w:val="005662EC"/>
    <w:rsid w:val="00566712"/>
    <w:rsid w:val="00567283"/>
    <w:rsid w:val="0057241B"/>
    <w:rsid w:val="00572BCE"/>
    <w:rsid w:val="00573188"/>
    <w:rsid w:val="00573263"/>
    <w:rsid w:val="005749B7"/>
    <w:rsid w:val="00575834"/>
    <w:rsid w:val="00575B68"/>
    <w:rsid w:val="00575BF6"/>
    <w:rsid w:val="005764A1"/>
    <w:rsid w:val="00580D47"/>
    <w:rsid w:val="00581128"/>
    <w:rsid w:val="0058178C"/>
    <w:rsid w:val="00582532"/>
    <w:rsid w:val="00582ABB"/>
    <w:rsid w:val="00586405"/>
    <w:rsid w:val="00586826"/>
    <w:rsid w:val="00587DFD"/>
    <w:rsid w:val="00590BCD"/>
    <w:rsid w:val="00591116"/>
    <w:rsid w:val="00592389"/>
    <w:rsid w:val="005933AB"/>
    <w:rsid w:val="00593569"/>
    <w:rsid w:val="00593927"/>
    <w:rsid w:val="00595D76"/>
    <w:rsid w:val="005976F2"/>
    <w:rsid w:val="005A2067"/>
    <w:rsid w:val="005A52F1"/>
    <w:rsid w:val="005A576A"/>
    <w:rsid w:val="005A750F"/>
    <w:rsid w:val="005B02B3"/>
    <w:rsid w:val="005B2727"/>
    <w:rsid w:val="005B293E"/>
    <w:rsid w:val="005B2B5C"/>
    <w:rsid w:val="005B4876"/>
    <w:rsid w:val="005C0817"/>
    <w:rsid w:val="005C0D53"/>
    <w:rsid w:val="005C29B8"/>
    <w:rsid w:val="005C2BA9"/>
    <w:rsid w:val="005C3223"/>
    <w:rsid w:val="005C32AD"/>
    <w:rsid w:val="005C3AE8"/>
    <w:rsid w:val="005C3CCE"/>
    <w:rsid w:val="005C5AC0"/>
    <w:rsid w:val="005C629A"/>
    <w:rsid w:val="005C7E4A"/>
    <w:rsid w:val="005D0306"/>
    <w:rsid w:val="005D04D2"/>
    <w:rsid w:val="005D07C4"/>
    <w:rsid w:val="005D2907"/>
    <w:rsid w:val="005D3A59"/>
    <w:rsid w:val="005D4AB2"/>
    <w:rsid w:val="005D4C25"/>
    <w:rsid w:val="005D5F67"/>
    <w:rsid w:val="005D6529"/>
    <w:rsid w:val="005D70E7"/>
    <w:rsid w:val="005D721A"/>
    <w:rsid w:val="005D72E6"/>
    <w:rsid w:val="005D79B7"/>
    <w:rsid w:val="005E11B1"/>
    <w:rsid w:val="005E250A"/>
    <w:rsid w:val="005E2A44"/>
    <w:rsid w:val="005F3313"/>
    <w:rsid w:val="005F64CE"/>
    <w:rsid w:val="005F6BF5"/>
    <w:rsid w:val="005F755E"/>
    <w:rsid w:val="005F755F"/>
    <w:rsid w:val="006024D3"/>
    <w:rsid w:val="0060252A"/>
    <w:rsid w:val="006069BB"/>
    <w:rsid w:val="00606F53"/>
    <w:rsid w:val="00607842"/>
    <w:rsid w:val="00610509"/>
    <w:rsid w:val="006119F9"/>
    <w:rsid w:val="006137BF"/>
    <w:rsid w:val="00614490"/>
    <w:rsid w:val="00615E90"/>
    <w:rsid w:val="00615F43"/>
    <w:rsid w:val="00617C38"/>
    <w:rsid w:val="0062024F"/>
    <w:rsid w:val="006202BA"/>
    <w:rsid w:val="00621801"/>
    <w:rsid w:val="00622352"/>
    <w:rsid w:val="00622914"/>
    <w:rsid w:val="00622A82"/>
    <w:rsid w:val="00623945"/>
    <w:rsid w:val="00624700"/>
    <w:rsid w:val="006304EF"/>
    <w:rsid w:val="00631608"/>
    <w:rsid w:val="006318DB"/>
    <w:rsid w:val="006335D6"/>
    <w:rsid w:val="006336C0"/>
    <w:rsid w:val="00634175"/>
    <w:rsid w:val="00636AF1"/>
    <w:rsid w:val="00640C06"/>
    <w:rsid w:val="006422B2"/>
    <w:rsid w:val="00643903"/>
    <w:rsid w:val="00643F99"/>
    <w:rsid w:val="00644DC1"/>
    <w:rsid w:val="00644FBC"/>
    <w:rsid w:val="00645C24"/>
    <w:rsid w:val="00646167"/>
    <w:rsid w:val="00646327"/>
    <w:rsid w:val="00646348"/>
    <w:rsid w:val="006508D4"/>
    <w:rsid w:val="00651D96"/>
    <w:rsid w:val="00654336"/>
    <w:rsid w:val="00655EFA"/>
    <w:rsid w:val="00657933"/>
    <w:rsid w:val="006602F0"/>
    <w:rsid w:val="00663481"/>
    <w:rsid w:val="0066428D"/>
    <w:rsid w:val="006645B8"/>
    <w:rsid w:val="00664AF9"/>
    <w:rsid w:val="006650F5"/>
    <w:rsid w:val="0066534D"/>
    <w:rsid w:val="006658AF"/>
    <w:rsid w:val="006675E9"/>
    <w:rsid w:val="0067009B"/>
    <w:rsid w:val="00670C16"/>
    <w:rsid w:val="006717AB"/>
    <w:rsid w:val="00671C01"/>
    <w:rsid w:val="00671CA7"/>
    <w:rsid w:val="00680859"/>
    <w:rsid w:val="00681844"/>
    <w:rsid w:val="00681E9A"/>
    <w:rsid w:val="006821B4"/>
    <w:rsid w:val="0068223E"/>
    <w:rsid w:val="006837BD"/>
    <w:rsid w:val="006843E1"/>
    <w:rsid w:val="006848FA"/>
    <w:rsid w:val="00687598"/>
    <w:rsid w:val="00687886"/>
    <w:rsid w:val="00687D22"/>
    <w:rsid w:val="006911E5"/>
    <w:rsid w:val="006939E4"/>
    <w:rsid w:val="00693E2C"/>
    <w:rsid w:val="00693E3C"/>
    <w:rsid w:val="00696602"/>
    <w:rsid w:val="006A0CAF"/>
    <w:rsid w:val="006A1200"/>
    <w:rsid w:val="006A1A3E"/>
    <w:rsid w:val="006A2454"/>
    <w:rsid w:val="006A2B6C"/>
    <w:rsid w:val="006A2E43"/>
    <w:rsid w:val="006A41DA"/>
    <w:rsid w:val="006A52E1"/>
    <w:rsid w:val="006A6DCF"/>
    <w:rsid w:val="006A7742"/>
    <w:rsid w:val="006B0706"/>
    <w:rsid w:val="006B0BC3"/>
    <w:rsid w:val="006B16CE"/>
    <w:rsid w:val="006B393B"/>
    <w:rsid w:val="006B3DFD"/>
    <w:rsid w:val="006B4111"/>
    <w:rsid w:val="006B4752"/>
    <w:rsid w:val="006B50D5"/>
    <w:rsid w:val="006B5328"/>
    <w:rsid w:val="006B6702"/>
    <w:rsid w:val="006B7224"/>
    <w:rsid w:val="006B7DC9"/>
    <w:rsid w:val="006C01F9"/>
    <w:rsid w:val="006C2741"/>
    <w:rsid w:val="006C3346"/>
    <w:rsid w:val="006C4C85"/>
    <w:rsid w:val="006C64D6"/>
    <w:rsid w:val="006C6EF2"/>
    <w:rsid w:val="006D0424"/>
    <w:rsid w:val="006D083D"/>
    <w:rsid w:val="006D0D44"/>
    <w:rsid w:val="006D127B"/>
    <w:rsid w:val="006D17CE"/>
    <w:rsid w:val="006D2986"/>
    <w:rsid w:val="006D2FB9"/>
    <w:rsid w:val="006D53A9"/>
    <w:rsid w:val="006D6085"/>
    <w:rsid w:val="006D623C"/>
    <w:rsid w:val="006E3D18"/>
    <w:rsid w:val="006E470A"/>
    <w:rsid w:val="006E6C8C"/>
    <w:rsid w:val="006E791F"/>
    <w:rsid w:val="006E7A81"/>
    <w:rsid w:val="006F0152"/>
    <w:rsid w:val="006F4505"/>
    <w:rsid w:val="006F46B0"/>
    <w:rsid w:val="006F67AE"/>
    <w:rsid w:val="006F7AC0"/>
    <w:rsid w:val="0070256F"/>
    <w:rsid w:val="00702C61"/>
    <w:rsid w:val="007037AE"/>
    <w:rsid w:val="00704275"/>
    <w:rsid w:val="00705467"/>
    <w:rsid w:val="007062C3"/>
    <w:rsid w:val="00706F55"/>
    <w:rsid w:val="0071134A"/>
    <w:rsid w:val="007155AC"/>
    <w:rsid w:val="00716DF4"/>
    <w:rsid w:val="007200B6"/>
    <w:rsid w:val="007202B6"/>
    <w:rsid w:val="007206E2"/>
    <w:rsid w:val="00720856"/>
    <w:rsid w:val="00720C65"/>
    <w:rsid w:val="0072179D"/>
    <w:rsid w:val="00723349"/>
    <w:rsid w:val="00723897"/>
    <w:rsid w:val="00723B6A"/>
    <w:rsid w:val="00723BB2"/>
    <w:rsid w:val="00723F56"/>
    <w:rsid w:val="00724BBB"/>
    <w:rsid w:val="007300F0"/>
    <w:rsid w:val="00730EA9"/>
    <w:rsid w:val="0073176A"/>
    <w:rsid w:val="00732122"/>
    <w:rsid w:val="00732B24"/>
    <w:rsid w:val="007334EE"/>
    <w:rsid w:val="007339FD"/>
    <w:rsid w:val="0073438A"/>
    <w:rsid w:val="00735091"/>
    <w:rsid w:val="0073653A"/>
    <w:rsid w:val="007400F9"/>
    <w:rsid w:val="00740140"/>
    <w:rsid w:val="0074057E"/>
    <w:rsid w:val="00740881"/>
    <w:rsid w:val="00742281"/>
    <w:rsid w:val="00742B01"/>
    <w:rsid w:val="007448C5"/>
    <w:rsid w:val="00745326"/>
    <w:rsid w:val="00745377"/>
    <w:rsid w:val="0075076E"/>
    <w:rsid w:val="00750D2A"/>
    <w:rsid w:val="00751459"/>
    <w:rsid w:val="00751CC3"/>
    <w:rsid w:val="0075249E"/>
    <w:rsid w:val="00752CAC"/>
    <w:rsid w:val="007530E7"/>
    <w:rsid w:val="00753597"/>
    <w:rsid w:val="00754968"/>
    <w:rsid w:val="007566FE"/>
    <w:rsid w:val="00757B69"/>
    <w:rsid w:val="00757C96"/>
    <w:rsid w:val="0076004D"/>
    <w:rsid w:val="00760256"/>
    <w:rsid w:val="0076150A"/>
    <w:rsid w:val="00762C25"/>
    <w:rsid w:val="0076429A"/>
    <w:rsid w:val="00764CFA"/>
    <w:rsid w:val="00766AD0"/>
    <w:rsid w:val="00767320"/>
    <w:rsid w:val="007675A9"/>
    <w:rsid w:val="007679AB"/>
    <w:rsid w:val="00767EA1"/>
    <w:rsid w:val="00774060"/>
    <w:rsid w:val="00776B44"/>
    <w:rsid w:val="00776E11"/>
    <w:rsid w:val="007806A6"/>
    <w:rsid w:val="00781716"/>
    <w:rsid w:val="00781BBF"/>
    <w:rsid w:val="00782992"/>
    <w:rsid w:val="0078304D"/>
    <w:rsid w:val="00785138"/>
    <w:rsid w:val="00785495"/>
    <w:rsid w:val="00785800"/>
    <w:rsid w:val="00785DE3"/>
    <w:rsid w:val="00785DE4"/>
    <w:rsid w:val="00787197"/>
    <w:rsid w:val="007879A3"/>
    <w:rsid w:val="00792899"/>
    <w:rsid w:val="00794742"/>
    <w:rsid w:val="007950A5"/>
    <w:rsid w:val="007961B8"/>
    <w:rsid w:val="007970B3"/>
    <w:rsid w:val="00797193"/>
    <w:rsid w:val="007978EC"/>
    <w:rsid w:val="0079794A"/>
    <w:rsid w:val="007A0042"/>
    <w:rsid w:val="007A0B84"/>
    <w:rsid w:val="007A223B"/>
    <w:rsid w:val="007A3274"/>
    <w:rsid w:val="007A48AF"/>
    <w:rsid w:val="007B2E6B"/>
    <w:rsid w:val="007B30C8"/>
    <w:rsid w:val="007B41E6"/>
    <w:rsid w:val="007B68EB"/>
    <w:rsid w:val="007B7F5E"/>
    <w:rsid w:val="007C1737"/>
    <w:rsid w:val="007C4751"/>
    <w:rsid w:val="007C52EC"/>
    <w:rsid w:val="007C6275"/>
    <w:rsid w:val="007C768D"/>
    <w:rsid w:val="007D4870"/>
    <w:rsid w:val="007D53C0"/>
    <w:rsid w:val="007D59F5"/>
    <w:rsid w:val="007D73FA"/>
    <w:rsid w:val="007D7804"/>
    <w:rsid w:val="007D7A82"/>
    <w:rsid w:val="007E23C7"/>
    <w:rsid w:val="007E31BC"/>
    <w:rsid w:val="007E3CE6"/>
    <w:rsid w:val="007E4CE5"/>
    <w:rsid w:val="007E4ECB"/>
    <w:rsid w:val="007E4F8C"/>
    <w:rsid w:val="007E5F3A"/>
    <w:rsid w:val="007E70B7"/>
    <w:rsid w:val="007F0456"/>
    <w:rsid w:val="007F076C"/>
    <w:rsid w:val="007F100E"/>
    <w:rsid w:val="007F1A92"/>
    <w:rsid w:val="007F2829"/>
    <w:rsid w:val="007F347A"/>
    <w:rsid w:val="007F3592"/>
    <w:rsid w:val="007F5B0A"/>
    <w:rsid w:val="008008F5"/>
    <w:rsid w:val="00801F5F"/>
    <w:rsid w:val="00802288"/>
    <w:rsid w:val="008036E0"/>
    <w:rsid w:val="00803E19"/>
    <w:rsid w:val="00805665"/>
    <w:rsid w:val="00805F5F"/>
    <w:rsid w:val="0080636D"/>
    <w:rsid w:val="0080672F"/>
    <w:rsid w:val="008067C2"/>
    <w:rsid w:val="008101DF"/>
    <w:rsid w:val="00811465"/>
    <w:rsid w:val="00812776"/>
    <w:rsid w:val="00812A5F"/>
    <w:rsid w:val="00812DEB"/>
    <w:rsid w:val="00815209"/>
    <w:rsid w:val="00817B35"/>
    <w:rsid w:val="008202AE"/>
    <w:rsid w:val="00820481"/>
    <w:rsid w:val="008207E4"/>
    <w:rsid w:val="00823414"/>
    <w:rsid w:val="008236C2"/>
    <w:rsid w:val="00824AD7"/>
    <w:rsid w:val="008262C3"/>
    <w:rsid w:val="0083085E"/>
    <w:rsid w:val="00830ABF"/>
    <w:rsid w:val="00830FEB"/>
    <w:rsid w:val="008311BB"/>
    <w:rsid w:val="00832248"/>
    <w:rsid w:val="00835849"/>
    <w:rsid w:val="00840C91"/>
    <w:rsid w:val="00841401"/>
    <w:rsid w:val="00843A03"/>
    <w:rsid w:val="00844245"/>
    <w:rsid w:val="0084467F"/>
    <w:rsid w:val="0084490E"/>
    <w:rsid w:val="00846EAF"/>
    <w:rsid w:val="008473B4"/>
    <w:rsid w:val="00847426"/>
    <w:rsid w:val="00847A47"/>
    <w:rsid w:val="0085037D"/>
    <w:rsid w:val="00852A04"/>
    <w:rsid w:val="00852B2E"/>
    <w:rsid w:val="00854023"/>
    <w:rsid w:val="0085477A"/>
    <w:rsid w:val="00854A66"/>
    <w:rsid w:val="008552C0"/>
    <w:rsid w:val="00855FCF"/>
    <w:rsid w:val="008560D9"/>
    <w:rsid w:val="008569A1"/>
    <w:rsid w:val="00857878"/>
    <w:rsid w:val="008579D3"/>
    <w:rsid w:val="00861363"/>
    <w:rsid w:val="00861A27"/>
    <w:rsid w:val="00863CAD"/>
    <w:rsid w:val="008647E1"/>
    <w:rsid w:val="00865740"/>
    <w:rsid w:val="00865986"/>
    <w:rsid w:val="008663E3"/>
    <w:rsid w:val="00866771"/>
    <w:rsid w:val="0087203E"/>
    <w:rsid w:val="00872D42"/>
    <w:rsid w:val="00873C81"/>
    <w:rsid w:val="008749A4"/>
    <w:rsid w:val="00877D69"/>
    <w:rsid w:val="00880D60"/>
    <w:rsid w:val="00881126"/>
    <w:rsid w:val="00882433"/>
    <w:rsid w:val="0088322F"/>
    <w:rsid w:val="00883763"/>
    <w:rsid w:val="008842C0"/>
    <w:rsid w:val="00887201"/>
    <w:rsid w:val="00893ED5"/>
    <w:rsid w:val="00894086"/>
    <w:rsid w:val="00894F66"/>
    <w:rsid w:val="00895F02"/>
    <w:rsid w:val="008962C1"/>
    <w:rsid w:val="008A248B"/>
    <w:rsid w:val="008A267F"/>
    <w:rsid w:val="008A3F05"/>
    <w:rsid w:val="008A5535"/>
    <w:rsid w:val="008A7C96"/>
    <w:rsid w:val="008B0CC8"/>
    <w:rsid w:val="008B227E"/>
    <w:rsid w:val="008B3165"/>
    <w:rsid w:val="008B43F7"/>
    <w:rsid w:val="008B684A"/>
    <w:rsid w:val="008B7FFB"/>
    <w:rsid w:val="008C41DE"/>
    <w:rsid w:val="008C4BCE"/>
    <w:rsid w:val="008C5858"/>
    <w:rsid w:val="008C6B96"/>
    <w:rsid w:val="008D1E70"/>
    <w:rsid w:val="008D2AB6"/>
    <w:rsid w:val="008D3DA2"/>
    <w:rsid w:val="008D542A"/>
    <w:rsid w:val="008D6B54"/>
    <w:rsid w:val="008D74C8"/>
    <w:rsid w:val="008E076D"/>
    <w:rsid w:val="008E1B8E"/>
    <w:rsid w:val="008E26DB"/>
    <w:rsid w:val="008E3D79"/>
    <w:rsid w:val="008E418D"/>
    <w:rsid w:val="008E48CC"/>
    <w:rsid w:val="008E49FE"/>
    <w:rsid w:val="008E6571"/>
    <w:rsid w:val="008E678C"/>
    <w:rsid w:val="008E72B0"/>
    <w:rsid w:val="008E73E2"/>
    <w:rsid w:val="008E74F8"/>
    <w:rsid w:val="008E7DBD"/>
    <w:rsid w:val="008F3367"/>
    <w:rsid w:val="008F496C"/>
    <w:rsid w:val="008F4B46"/>
    <w:rsid w:val="008F5138"/>
    <w:rsid w:val="008F6A53"/>
    <w:rsid w:val="008F74F7"/>
    <w:rsid w:val="00900859"/>
    <w:rsid w:val="00901400"/>
    <w:rsid w:val="00902DD6"/>
    <w:rsid w:val="00903BCB"/>
    <w:rsid w:val="00905D39"/>
    <w:rsid w:val="00907623"/>
    <w:rsid w:val="00911015"/>
    <w:rsid w:val="00917540"/>
    <w:rsid w:val="00920284"/>
    <w:rsid w:val="00920BB6"/>
    <w:rsid w:val="009228E2"/>
    <w:rsid w:val="00922FFA"/>
    <w:rsid w:val="00923A4A"/>
    <w:rsid w:val="00925FD9"/>
    <w:rsid w:val="009267B0"/>
    <w:rsid w:val="00930F5E"/>
    <w:rsid w:val="00931EE1"/>
    <w:rsid w:val="00935C06"/>
    <w:rsid w:val="0093738F"/>
    <w:rsid w:val="009403B4"/>
    <w:rsid w:val="00942671"/>
    <w:rsid w:val="00943F19"/>
    <w:rsid w:val="009440D3"/>
    <w:rsid w:val="009454D5"/>
    <w:rsid w:val="009461CE"/>
    <w:rsid w:val="009466B0"/>
    <w:rsid w:val="009550CA"/>
    <w:rsid w:val="00955275"/>
    <w:rsid w:val="00955E9F"/>
    <w:rsid w:val="009572A7"/>
    <w:rsid w:val="0096228C"/>
    <w:rsid w:val="00962724"/>
    <w:rsid w:val="009629CD"/>
    <w:rsid w:val="00965F7D"/>
    <w:rsid w:val="0096638F"/>
    <w:rsid w:val="0096673D"/>
    <w:rsid w:val="00966D4E"/>
    <w:rsid w:val="0097046D"/>
    <w:rsid w:val="009714B6"/>
    <w:rsid w:val="00971895"/>
    <w:rsid w:val="00973DE7"/>
    <w:rsid w:val="0097525F"/>
    <w:rsid w:val="00975DE8"/>
    <w:rsid w:val="00977997"/>
    <w:rsid w:val="009802E4"/>
    <w:rsid w:val="009802EE"/>
    <w:rsid w:val="00981BCE"/>
    <w:rsid w:val="00982A8E"/>
    <w:rsid w:val="00982F5B"/>
    <w:rsid w:val="00983BD9"/>
    <w:rsid w:val="00986515"/>
    <w:rsid w:val="00987CA3"/>
    <w:rsid w:val="00987E39"/>
    <w:rsid w:val="00992C8E"/>
    <w:rsid w:val="009965A1"/>
    <w:rsid w:val="00997823"/>
    <w:rsid w:val="00997CA5"/>
    <w:rsid w:val="009A1876"/>
    <w:rsid w:val="009A5FDA"/>
    <w:rsid w:val="009A65F7"/>
    <w:rsid w:val="009A7A0F"/>
    <w:rsid w:val="009B1A80"/>
    <w:rsid w:val="009B2A34"/>
    <w:rsid w:val="009B301A"/>
    <w:rsid w:val="009B5339"/>
    <w:rsid w:val="009B5A18"/>
    <w:rsid w:val="009B70BA"/>
    <w:rsid w:val="009B718E"/>
    <w:rsid w:val="009B7F62"/>
    <w:rsid w:val="009B7FA3"/>
    <w:rsid w:val="009C0B36"/>
    <w:rsid w:val="009C2F6E"/>
    <w:rsid w:val="009C4E1C"/>
    <w:rsid w:val="009C66A8"/>
    <w:rsid w:val="009C71F0"/>
    <w:rsid w:val="009D094A"/>
    <w:rsid w:val="009D127F"/>
    <w:rsid w:val="009D1443"/>
    <w:rsid w:val="009D1A33"/>
    <w:rsid w:val="009D3945"/>
    <w:rsid w:val="009D43D2"/>
    <w:rsid w:val="009D6031"/>
    <w:rsid w:val="009D7C1B"/>
    <w:rsid w:val="009E2B2C"/>
    <w:rsid w:val="009E3D34"/>
    <w:rsid w:val="009E3EEE"/>
    <w:rsid w:val="009E468E"/>
    <w:rsid w:val="009E4FC2"/>
    <w:rsid w:val="009E5DC9"/>
    <w:rsid w:val="009E5FF3"/>
    <w:rsid w:val="009E67C2"/>
    <w:rsid w:val="009E6B35"/>
    <w:rsid w:val="009E6DAF"/>
    <w:rsid w:val="009E6E6C"/>
    <w:rsid w:val="009E7982"/>
    <w:rsid w:val="009F06A4"/>
    <w:rsid w:val="009F1C38"/>
    <w:rsid w:val="009F3925"/>
    <w:rsid w:val="009F45C1"/>
    <w:rsid w:val="009F4FF5"/>
    <w:rsid w:val="009F5043"/>
    <w:rsid w:val="009F7DED"/>
    <w:rsid w:val="00A00856"/>
    <w:rsid w:val="00A01AC9"/>
    <w:rsid w:val="00A01E0B"/>
    <w:rsid w:val="00A02B35"/>
    <w:rsid w:val="00A0429A"/>
    <w:rsid w:val="00A054F3"/>
    <w:rsid w:val="00A06476"/>
    <w:rsid w:val="00A10BF8"/>
    <w:rsid w:val="00A13023"/>
    <w:rsid w:val="00A13332"/>
    <w:rsid w:val="00A15CEF"/>
    <w:rsid w:val="00A17333"/>
    <w:rsid w:val="00A17BD3"/>
    <w:rsid w:val="00A21184"/>
    <w:rsid w:val="00A2146F"/>
    <w:rsid w:val="00A21B09"/>
    <w:rsid w:val="00A2290B"/>
    <w:rsid w:val="00A242A1"/>
    <w:rsid w:val="00A24D84"/>
    <w:rsid w:val="00A24F56"/>
    <w:rsid w:val="00A260D9"/>
    <w:rsid w:val="00A26434"/>
    <w:rsid w:val="00A2718A"/>
    <w:rsid w:val="00A313D1"/>
    <w:rsid w:val="00A334AB"/>
    <w:rsid w:val="00A347B1"/>
    <w:rsid w:val="00A352B3"/>
    <w:rsid w:val="00A35D32"/>
    <w:rsid w:val="00A3797F"/>
    <w:rsid w:val="00A41072"/>
    <w:rsid w:val="00A41EA3"/>
    <w:rsid w:val="00A45489"/>
    <w:rsid w:val="00A45D46"/>
    <w:rsid w:val="00A460AC"/>
    <w:rsid w:val="00A50F04"/>
    <w:rsid w:val="00A52330"/>
    <w:rsid w:val="00A52724"/>
    <w:rsid w:val="00A53084"/>
    <w:rsid w:val="00A531AC"/>
    <w:rsid w:val="00A53CE3"/>
    <w:rsid w:val="00A562E9"/>
    <w:rsid w:val="00A56E79"/>
    <w:rsid w:val="00A57D3B"/>
    <w:rsid w:val="00A60CD8"/>
    <w:rsid w:val="00A60E92"/>
    <w:rsid w:val="00A65A73"/>
    <w:rsid w:val="00A70F4D"/>
    <w:rsid w:val="00A72C01"/>
    <w:rsid w:val="00A72E31"/>
    <w:rsid w:val="00A73F9F"/>
    <w:rsid w:val="00A75415"/>
    <w:rsid w:val="00A75908"/>
    <w:rsid w:val="00A7642F"/>
    <w:rsid w:val="00A768B6"/>
    <w:rsid w:val="00A769DF"/>
    <w:rsid w:val="00A80998"/>
    <w:rsid w:val="00A81AB2"/>
    <w:rsid w:val="00A82985"/>
    <w:rsid w:val="00A856C8"/>
    <w:rsid w:val="00A85FC2"/>
    <w:rsid w:val="00A86F37"/>
    <w:rsid w:val="00A87FB0"/>
    <w:rsid w:val="00A91566"/>
    <w:rsid w:val="00A91EC1"/>
    <w:rsid w:val="00A95D89"/>
    <w:rsid w:val="00A97CFE"/>
    <w:rsid w:val="00AA4011"/>
    <w:rsid w:val="00AA4307"/>
    <w:rsid w:val="00AA47E1"/>
    <w:rsid w:val="00AA53C5"/>
    <w:rsid w:val="00AA682D"/>
    <w:rsid w:val="00AA69A4"/>
    <w:rsid w:val="00AA6E23"/>
    <w:rsid w:val="00AA728B"/>
    <w:rsid w:val="00AA75AE"/>
    <w:rsid w:val="00AA7920"/>
    <w:rsid w:val="00AB0F91"/>
    <w:rsid w:val="00AB1943"/>
    <w:rsid w:val="00AB22B1"/>
    <w:rsid w:val="00AB2E60"/>
    <w:rsid w:val="00AB326A"/>
    <w:rsid w:val="00AB3B4E"/>
    <w:rsid w:val="00AB3ED5"/>
    <w:rsid w:val="00AB4828"/>
    <w:rsid w:val="00AB5352"/>
    <w:rsid w:val="00AC1DB1"/>
    <w:rsid w:val="00AC5FD6"/>
    <w:rsid w:val="00AC633D"/>
    <w:rsid w:val="00AC6B51"/>
    <w:rsid w:val="00AD02FA"/>
    <w:rsid w:val="00AD2A25"/>
    <w:rsid w:val="00AD3A9D"/>
    <w:rsid w:val="00AD457E"/>
    <w:rsid w:val="00AD4632"/>
    <w:rsid w:val="00AD4BD6"/>
    <w:rsid w:val="00AD637B"/>
    <w:rsid w:val="00AD76E0"/>
    <w:rsid w:val="00AE007D"/>
    <w:rsid w:val="00AE0260"/>
    <w:rsid w:val="00AE03BC"/>
    <w:rsid w:val="00AE05B2"/>
    <w:rsid w:val="00AE22C8"/>
    <w:rsid w:val="00AE26B0"/>
    <w:rsid w:val="00AE4795"/>
    <w:rsid w:val="00AE783E"/>
    <w:rsid w:val="00AF0595"/>
    <w:rsid w:val="00AF0B81"/>
    <w:rsid w:val="00AF219F"/>
    <w:rsid w:val="00AF36DE"/>
    <w:rsid w:val="00AF3FE7"/>
    <w:rsid w:val="00AF4194"/>
    <w:rsid w:val="00AF5968"/>
    <w:rsid w:val="00AF5FFC"/>
    <w:rsid w:val="00AF712F"/>
    <w:rsid w:val="00AF714C"/>
    <w:rsid w:val="00B024D9"/>
    <w:rsid w:val="00B026AA"/>
    <w:rsid w:val="00B02BD4"/>
    <w:rsid w:val="00B03AD5"/>
    <w:rsid w:val="00B03B6E"/>
    <w:rsid w:val="00B04C03"/>
    <w:rsid w:val="00B04D7F"/>
    <w:rsid w:val="00B04FC0"/>
    <w:rsid w:val="00B05533"/>
    <w:rsid w:val="00B06A61"/>
    <w:rsid w:val="00B06F83"/>
    <w:rsid w:val="00B07994"/>
    <w:rsid w:val="00B1034A"/>
    <w:rsid w:val="00B10E60"/>
    <w:rsid w:val="00B120A2"/>
    <w:rsid w:val="00B12C7F"/>
    <w:rsid w:val="00B14EEA"/>
    <w:rsid w:val="00B2686E"/>
    <w:rsid w:val="00B2722C"/>
    <w:rsid w:val="00B307BB"/>
    <w:rsid w:val="00B30EFC"/>
    <w:rsid w:val="00B32A14"/>
    <w:rsid w:val="00B33701"/>
    <w:rsid w:val="00B33746"/>
    <w:rsid w:val="00B347C1"/>
    <w:rsid w:val="00B367FA"/>
    <w:rsid w:val="00B377C7"/>
    <w:rsid w:val="00B40778"/>
    <w:rsid w:val="00B40CC2"/>
    <w:rsid w:val="00B41470"/>
    <w:rsid w:val="00B43F68"/>
    <w:rsid w:val="00B44218"/>
    <w:rsid w:val="00B45A35"/>
    <w:rsid w:val="00B45F74"/>
    <w:rsid w:val="00B50890"/>
    <w:rsid w:val="00B50E28"/>
    <w:rsid w:val="00B5184F"/>
    <w:rsid w:val="00B53351"/>
    <w:rsid w:val="00B551F3"/>
    <w:rsid w:val="00B558A6"/>
    <w:rsid w:val="00B55B70"/>
    <w:rsid w:val="00B56B38"/>
    <w:rsid w:val="00B57782"/>
    <w:rsid w:val="00B6005E"/>
    <w:rsid w:val="00B61717"/>
    <w:rsid w:val="00B61A24"/>
    <w:rsid w:val="00B61C1F"/>
    <w:rsid w:val="00B61E51"/>
    <w:rsid w:val="00B620C0"/>
    <w:rsid w:val="00B632B4"/>
    <w:rsid w:val="00B70A38"/>
    <w:rsid w:val="00B722CE"/>
    <w:rsid w:val="00B741B0"/>
    <w:rsid w:val="00B74B7C"/>
    <w:rsid w:val="00B74D04"/>
    <w:rsid w:val="00B74E2E"/>
    <w:rsid w:val="00B74E30"/>
    <w:rsid w:val="00B74E40"/>
    <w:rsid w:val="00B75484"/>
    <w:rsid w:val="00B76EF7"/>
    <w:rsid w:val="00B8182B"/>
    <w:rsid w:val="00B8259B"/>
    <w:rsid w:val="00B908C1"/>
    <w:rsid w:val="00B930CB"/>
    <w:rsid w:val="00B95066"/>
    <w:rsid w:val="00B95B09"/>
    <w:rsid w:val="00B97299"/>
    <w:rsid w:val="00B9774F"/>
    <w:rsid w:val="00BA5229"/>
    <w:rsid w:val="00BB014C"/>
    <w:rsid w:val="00BB01E9"/>
    <w:rsid w:val="00BB2993"/>
    <w:rsid w:val="00BB2C8E"/>
    <w:rsid w:val="00BB3562"/>
    <w:rsid w:val="00BB578F"/>
    <w:rsid w:val="00BB680F"/>
    <w:rsid w:val="00BB73E6"/>
    <w:rsid w:val="00BB7E7B"/>
    <w:rsid w:val="00BC1199"/>
    <w:rsid w:val="00BC1B42"/>
    <w:rsid w:val="00BC294E"/>
    <w:rsid w:val="00BC377F"/>
    <w:rsid w:val="00BC3FCA"/>
    <w:rsid w:val="00BC583F"/>
    <w:rsid w:val="00BC6D28"/>
    <w:rsid w:val="00BC7C9A"/>
    <w:rsid w:val="00BD11A8"/>
    <w:rsid w:val="00BD20FB"/>
    <w:rsid w:val="00BD4B28"/>
    <w:rsid w:val="00BD756C"/>
    <w:rsid w:val="00BD7F16"/>
    <w:rsid w:val="00BE0331"/>
    <w:rsid w:val="00BE0705"/>
    <w:rsid w:val="00BE27C9"/>
    <w:rsid w:val="00BE2912"/>
    <w:rsid w:val="00BE3A25"/>
    <w:rsid w:val="00BE51A8"/>
    <w:rsid w:val="00BE526A"/>
    <w:rsid w:val="00BE528B"/>
    <w:rsid w:val="00BE55EB"/>
    <w:rsid w:val="00BE5600"/>
    <w:rsid w:val="00BE5813"/>
    <w:rsid w:val="00BE5A48"/>
    <w:rsid w:val="00BE5AD9"/>
    <w:rsid w:val="00BE5F8D"/>
    <w:rsid w:val="00BE686A"/>
    <w:rsid w:val="00BE7A25"/>
    <w:rsid w:val="00BF0167"/>
    <w:rsid w:val="00BF063C"/>
    <w:rsid w:val="00BF21CB"/>
    <w:rsid w:val="00BF3E1A"/>
    <w:rsid w:val="00BF45C5"/>
    <w:rsid w:val="00BF6434"/>
    <w:rsid w:val="00BF6C16"/>
    <w:rsid w:val="00BF7326"/>
    <w:rsid w:val="00C005D8"/>
    <w:rsid w:val="00C00ABA"/>
    <w:rsid w:val="00C00FB9"/>
    <w:rsid w:val="00C019B2"/>
    <w:rsid w:val="00C039C1"/>
    <w:rsid w:val="00C03DF5"/>
    <w:rsid w:val="00C0437D"/>
    <w:rsid w:val="00C05639"/>
    <w:rsid w:val="00C06B56"/>
    <w:rsid w:val="00C10AE9"/>
    <w:rsid w:val="00C13D17"/>
    <w:rsid w:val="00C153CF"/>
    <w:rsid w:val="00C15CF2"/>
    <w:rsid w:val="00C16CC6"/>
    <w:rsid w:val="00C20612"/>
    <w:rsid w:val="00C20A76"/>
    <w:rsid w:val="00C21209"/>
    <w:rsid w:val="00C265C8"/>
    <w:rsid w:val="00C26753"/>
    <w:rsid w:val="00C3051F"/>
    <w:rsid w:val="00C31B25"/>
    <w:rsid w:val="00C31E52"/>
    <w:rsid w:val="00C32998"/>
    <w:rsid w:val="00C32BE7"/>
    <w:rsid w:val="00C350D0"/>
    <w:rsid w:val="00C40A0A"/>
    <w:rsid w:val="00C40D60"/>
    <w:rsid w:val="00C41DA7"/>
    <w:rsid w:val="00C420CC"/>
    <w:rsid w:val="00C431C4"/>
    <w:rsid w:val="00C46F03"/>
    <w:rsid w:val="00C47242"/>
    <w:rsid w:val="00C50D26"/>
    <w:rsid w:val="00C525D5"/>
    <w:rsid w:val="00C52A09"/>
    <w:rsid w:val="00C54638"/>
    <w:rsid w:val="00C552D6"/>
    <w:rsid w:val="00C564E8"/>
    <w:rsid w:val="00C5685D"/>
    <w:rsid w:val="00C57440"/>
    <w:rsid w:val="00C612CB"/>
    <w:rsid w:val="00C628FB"/>
    <w:rsid w:val="00C67329"/>
    <w:rsid w:val="00C6734B"/>
    <w:rsid w:val="00C703D6"/>
    <w:rsid w:val="00C706A9"/>
    <w:rsid w:val="00C716CE"/>
    <w:rsid w:val="00C71749"/>
    <w:rsid w:val="00C72A68"/>
    <w:rsid w:val="00C74BB0"/>
    <w:rsid w:val="00C76B95"/>
    <w:rsid w:val="00C7727F"/>
    <w:rsid w:val="00C77844"/>
    <w:rsid w:val="00C778D8"/>
    <w:rsid w:val="00C81842"/>
    <w:rsid w:val="00C81C35"/>
    <w:rsid w:val="00C82773"/>
    <w:rsid w:val="00C8282F"/>
    <w:rsid w:val="00C82B72"/>
    <w:rsid w:val="00C8316E"/>
    <w:rsid w:val="00C832A3"/>
    <w:rsid w:val="00C85228"/>
    <w:rsid w:val="00C85633"/>
    <w:rsid w:val="00C85E38"/>
    <w:rsid w:val="00C86E91"/>
    <w:rsid w:val="00C90575"/>
    <w:rsid w:val="00C907D4"/>
    <w:rsid w:val="00C938C6"/>
    <w:rsid w:val="00C944B9"/>
    <w:rsid w:val="00C97CF1"/>
    <w:rsid w:val="00CA083D"/>
    <w:rsid w:val="00CA0CDF"/>
    <w:rsid w:val="00CA2CA4"/>
    <w:rsid w:val="00CA4A49"/>
    <w:rsid w:val="00CA50FE"/>
    <w:rsid w:val="00CA5D11"/>
    <w:rsid w:val="00CB18AF"/>
    <w:rsid w:val="00CB2C0E"/>
    <w:rsid w:val="00CB4B42"/>
    <w:rsid w:val="00CC0584"/>
    <w:rsid w:val="00CC107E"/>
    <w:rsid w:val="00CC1430"/>
    <w:rsid w:val="00CC269B"/>
    <w:rsid w:val="00CC2C1B"/>
    <w:rsid w:val="00CC2FD4"/>
    <w:rsid w:val="00CC3392"/>
    <w:rsid w:val="00CC47E4"/>
    <w:rsid w:val="00CC5B9D"/>
    <w:rsid w:val="00CC5D9E"/>
    <w:rsid w:val="00CD12DA"/>
    <w:rsid w:val="00CD370D"/>
    <w:rsid w:val="00CD42FE"/>
    <w:rsid w:val="00CD56E9"/>
    <w:rsid w:val="00CD5B8D"/>
    <w:rsid w:val="00CE19F2"/>
    <w:rsid w:val="00CE32AE"/>
    <w:rsid w:val="00CE400D"/>
    <w:rsid w:val="00CE5723"/>
    <w:rsid w:val="00CE58EC"/>
    <w:rsid w:val="00CE5D53"/>
    <w:rsid w:val="00CE6BAE"/>
    <w:rsid w:val="00CE7FD6"/>
    <w:rsid w:val="00CF24FA"/>
    <w:rsid w:val="00CF25BC"/>
    <w:rsid w:val="00CF2D9E"/>
    <w:rsid w:val="00CF31D2"/>
    <w:rsid w:val="00CF339A"/>
    <w:rsid w:val="00CF5A88"/>
    <w:rsid w:val="00CF75EC"/>
    <w:rsid w:val="00D02440"/>
    <w:rsid w:val="00D03117"/>
    <w:rsid w:val="00D0323A"/>
    <w:rsid w:val="00D035F3"/>
    <w:rsid w:val="00D03F6E"/>
    <w:rsid w:val="00D04D29"/>
    <w:rsid w:val="00D05959"/>
    <w:rsid w:val="00D06C71"/>
    <w:rsid w:val="00D10F4A"/>
    <w:rsid w:val="00D11095"/>
    <w:rsid w:val="00D12FCC"/>
    <w:rsid w:val="00D14EB9"/>
    <w:rsid w:val="00D15006"/>
    <w:rsid w:val="00D1591D"/>
    <w:rsid w:val="00D1610A"/>
    <w:rsid w:val="00D1675A"/>
    <w:rsid w:val="00D1696F"/>
    <w:rsid w:val="00D20731"/>
    <w:rsid w:val="00D21232"/>
    <w:rsid w:val="00D218FD"/>
    <w:rsid w:val="00D23937"/>
    <w:rsid w:val="00D2667F"/>
    <w:rsid w:val="00D270E4"/>
    <w:rsid w:val="00D308C0"/>
    <w:rsid w:val="00D338F7"/>
    <w:rsid w:val="00D342BA"/>
    <w:rsid w:val="00D34FB8"/>
    <w:rsid w:val="00D35190"/>
    <w:rsid w:val="00D36D58"/>
    <w:rsid w:val="00D3713D"/>
    <w:rsid w:val="00D37432"/>
    <w:rsid w:val="00D40E80"/>
    <w:rsid w:val="00D42D3F"/>
    <w:rsid w:val="00D435FD"/>
    <w:rsid w:val="00D43BA2"/>
    <w:rsid w:val="00D45823"/>
    <w:rsid w:val="00D45DF8"/>
    <w:rsid w:val="00D46C79"/>
    <w:rsid w:val="00D515C7"/>
    <w:rsid w:val="00D51EFF"/>
    <w:rsid w:val="00D5298C"/>
    <w:rsid w:val="00D53502"/>
    <w:rsid w:val="00D535D7"/>
    <w:rsid w:val="00D535E9"/>
    <w:rsid w:val="00D56E55"/>
    <w:rsid w:val="00D5768A"/>
    <w:rsid w:val="00D62A7F"/>
    <w:rsid w:val="00D635A0"/>
    <w:rsid w:val="00D63C0E"/>
    <w:rsid w:val="00D63C28"/>
    <w:rsid w:val="00D703C8"/>
    <w:rsid w:val="00D71835"/>
    <w:rsid w:val="00D71A43"/>
    <w:rsid w:val="00D72155"/>
    <w:rsid w:val="00D72BD1"/>
    <w:rsid w:val="00D733AB"/>
    <w:rsid w:val="00D7340F"/>
    <w:rsid w:val="00D7356C"/>
    <w:rsid w:val="00D73C56"/>
    <w:rsid w:val="00D73DB2"/>
    <w:rsid w:val="00D74F5D"/>
    <w:rsid w:val="00D75589"/>
    <w:rsid w:val="00D76E02"/>
    <w:rsid w:val="00D80286"/>
    <w:rsid w:val="00D806C5"/>
    <w:rsid w:val="00D853B3"/>
    <w:rsid w:val="00D85CF0"/>
    <w:rsid w:val="00D85D95"/>
    <w:rsid w:val="00D87C38"/>
    <w:rsid w:val="00D87DE7"/>
    <w:rsid w:val="00D90380"/>
    <w:rsid w:val="00D91341"/>
    <w:rsid w:val="00D9477A"/>
    <w:rsid w:val="00D94CE2"/>
    <w:rsid w:val="00D957E7"/>
    <w:rsid w:val="00DA0FC1"/>
    <w:rsid w:val="00DA291A"/>
    <w:rsid w:val="00DA3047"/>
    <w:rsid w:val="00DA3679"/>
    <w:rsid w:val="00DA56C1"/>
    <w:rsid w:val="00DA57AD"/>
    <w:rsid w:val="00DA6A7C"/>
    <w:rsid w:val="00DA710F"/>
    <w:rsid w:val="00DB0BD0"/>
    <w:rsid w:val="00DB0F1F"/>
    <w:rsid w:val="00DB1886"/>
    <w:rsid w:val="00DB47F3"/>
    <w:rsid w:val="00DB4F69"/>
    <w:rsid w:val="00DB64DD"/>
    <w:rsid w:val="00DB69F7"/>
    <w:rsid w:val="00DC0DFC"/>
    <w:rsid w:val="00DC1261"/>
    <w:rsid w:val="00DC2E1C"/>
    <w:rsid w:val="00DC3232"/>
    <w:rsid w:val="00DC4666"/>
    <w:rsid w:val="00DC5CE9"/>
    <w:rsid w:val="00DC7605"/>
    <w:rsid w:val="00DD1BF1"/>
    <w:rsid w:val="00DD3B8C"/>
    <w:rsid w:val="00DD3C4A"/>
    <w:rsid w:val="00DD3FDF"/>
    <w:rsid w:val="00DD4021"/>
    <w:rsid w:val="00DD51A6"/>
    <w:rsid w:val="00DD567D"/>
    <w:rsid w:val="00DD5FB5"/>
    <w:rsid w:val="00DD6011"/>
    <w:rsid w:val="00DD66D1"/>
    <w:rsid w:val="00DD78B3"/>
    <w:rsid w:val="00DE052F"/>
    <w:rsid w:val="00DE2512"/>
    <w:rsid w:val="00DE3782"/>
    <w:rsid w:val="00DE3FC0"/>
    <w:rsid w:val="00DE691B"/>
    <w:rsid w:val="00DE7BFD"/>
    <w:rsid w:val="00DF1960"/>
    <w:rsid w:val="00DF1D0F"/>
    <w:rsid w:val="00DF2188"/>
    <w:rsid w:val="00DF3488"/>
    <w:rsid w:val="00DF3556"/>
    <w:rsid w:val="00DF46AE"/>
    <w:rsid w:val="00DF4FC1"/>
    <w:rsid w:val="00DF647B"/>
    <w:rsid w:val="00DF77AB"/>
    <w:rsid w:val="00E00321"/>
    <w:rsid w:val="00E00776"/>
    <w:rsid w:val="00E00B2E"/>
    <w:rsid w:val="00E01B8E"/>
    <w:rsid w:val="00E041BB"/>
    <w:rsid w:val="00E04493"/>
    <w:rsid w:val="00E0486B"/>
    <w:rsid w:val="00E04B7C"/>
    <w:rsid w:val="00E056C1"/>
    <w:rsid w:val="00E076A4"/>
    <w:rsid w:val="00E1183C"/>
    <w:rsid w:val="00E11A36"/>
    <w:rsid w:val="00E146BE"/>
    <w:rsid w:val="00E1519A"/>
    <w:rsid w:val="00E171B4"/>
    <w:rsid w:val="00E2223D"/>
    <w:rsid w:val="00E22AB9"/>
    <w:rsid w:val="00E25485"/>
    <w:rsid w:val="00E26500"/>
    <w:rsid w:val="00E306C3"/>
    <w:rsid w:val="00E33FAC"/>
    <w:rsid w:val="00E343B9"/>
    <w:rsid w:val="00E34A86"/>
    <w:rsid w:val="00E3687B"/>
    <w:rsid w:val="00E36B0E"/>
    <w:rsid w:val="00E407C3"/>
    <w:rsid w:val="00E411E3"/>
    <w:rsid w:val="00E418DB"/>
    <w:rsid w:val="00E4463A"/>
    <w:rsid w:val="00E450E7"/>
    <w:rsid w:val="00E46B37"/>
    <w:rsid w:val="00E50679"/>
    <w:rsid w:val="00E51135"/>
    <w:rsid w:val="00E53A92"/>
    <w:rsid w:val="00E5568B"/>
    <w:rsid w:val="00E57A32"/>
    <w:rsid w:val="00E57D50"/>
    <w:rsid w:val="00E605B9"/>
    <w:rsid w:val="00E60CA1"/>
    <w:rsid w:val="00E61770"/>
    <w:rsid w:val="00E64399"/>
    <w:rsid w:val="00E645BE"/>
    <w:rsid w:val="00E65041"/>
    <w:rsid w:val="00E650D9"/>
    <w:rsid w:val="00E65954"/>
    <w:rsid w:val="00E66352"/>
    <w:rsid w:val="00E67432"/>
    <w:rsid w:val="00E67D53"/>
    <w:rsid w:val="00E7295B"/>
    <w:rsid w:val="00E732A1"/>
    <w:rsid w:val="00E73E3D"/>
    <w:rsid w:val="00E74563"/>
    <w:rsid w:val="00E753A9"/>
    <w:rsid w:val="00E776AC"/>
    <w:rsid w:val="00E801C1"/>
    <w:rsid w:val="00E80F4E"/>
    <w:rsid w:val="00E83CAB"/>
    <w:rsid w:val="00E846E7"/>
    <w:rsid w:val="00E86CD6"/>
    <w:rsid w:val="00E86CDF"/>
    <w:rsid w:val="00E87C59"/>
    <w:rsid w:val="00E90853"/>
    <w:rsid w:val="00E90D0A"/>
    <w:rsid w:val="00E928DF"/>
    <w:rsid w:val="00E92CF2"/>
    <w:rsid w:val="00E936FE"/>
    <w:rsid w:val="00E93931"/>
    <w:rsid w:val="00E96330"/>
    <w:rsid w:val="00EA2643"/>
    <w:rsid w:val="00EA30E0"/>
    <w:rsid w:val="00EA313E"/>
    <w:rsid w:val="00EA3589"/>
    <w:rsid w:val="00EA5A17"/>
    <w:rsid w:val="00EA654A"/>
    <w:rsid w:val="00EB24EC"/>
    <w:rsid w:val="00EB3155"/>
    <w:rsid w:val="00EB4ECC"/>
    <w:rsid w:val="00EB6789"/>
    <w:rsid w:val="00EB78E9"/>
    <w:rsid w:val="00EC25F7"/>
    <w:rsid w:val="00EC4044"/>
    <w:rsid w:val="00EC67E2"/>
    <w:rsid w:val="00ED141E"/>
    <w:rsid w:val="00ED4FE2"/>
    <w:rsid w:val="00ED5CE5"/>
    <w:rsid w:val="00ED5E0A"/>
    <w:rsid w:val="00ED5FFA"/>
    <w:rsid w:val="00EE1E4C"/>
    <w:rsid w:val="00EE3E01"/>
    <w:rsid w:val="00EE42BD"/>
    <w:rsid w:val="00EE5857"/>
    <w:rsid w:val="00EE63DE"/>
    <w:rsid w:val="00EE737C"/>
    <w:rsid w:val="00EF0CAC"/>
    <w:rsid w:val="00EF51FC"/>
    <w:rsid w:val="00EF70A2"/>
    <w:rsid w:val="00F02DAA"/>
    <w:rsid w:val="00F03AAD"/>
    <w:rsid w:val="00F04B68"/>
    <w:rsid w:val="00F05BE7"/>
    <w:rsid w:val="00F06537"/>
    <w:rsid w:val="00F122CD"/>
    <w:rsid w:val="00F12DAF"/>
    <w:rsid w:val="00F13383"/>
    <w:rsid w:val="00F137C2"/>
    <w:rsid w:val="00F1413D"/>
    <w:rsid w:val="00F147E0"/>
    <w:rsid w:val="00F15F77"/>
    <w:rsid w:val="00F16321"/>
    <w:rsid w:val="00F16AFE"/>
    <w:rsid w:val="00F16F1E"/>
    <w:rsid w:val="00F16FBB"/>
    <w:rsid w:val="00F21421"/>
    <w:rsid w:val="00F214DB"/>
    <w:rsid w:val="00F25273"/>
    <w:rsid w:val="00F26C9D"/>
    <w:rsid w:val="00F304D0"/>
    <w:rsid w:val="00F31A99"/>
    <w:rsid w:val="00F31F83"/>
    <w:rsid w:val="00F3222F"/>
    <w:rsid w:val="00F32B69"/>
    <w:rsid w:val="00F33593"/>
    <w:rsid w:val="00F337A3"/>
    <w:rsid w:val="00F33B3C"/>
    <w:rsid w:val="00F33EB9"/>
    <w:rsid w:val="00F34413"/>
    <w:rsid w:val="00F40612"/>
    <w:rsid w:val="00F50615"/>
    <w:rsid w:val="00F509C4"/>
    <w:rsid w:val="00F51B59"/>
    <w:rsid w:val="00F53310"/>
    <w:rsid w:val="00F5341D"/>
    <w:rsid w:val="00F53961"/>
    <w:rsid w:val="00F55F09"/>
    <w:rsid w:val="00F56520"/>
    <w:rsid w:val="00F57370"/>
    <w:rsid w:val="00F57608"/>
    <w:rsid w:val="00F57C80"/>
    <w:rsid w:val="00F62004"/>
    <w:rsid w:val="00F63795"/>
    <w:rsid w:val="00F645A3"/>
    <w:rsid w:val="00F650F1"/>
    <w:rsid w:val="00F658BB"/>
    <w:rsid w:val="00F669E5"/>
    <w:rsid w:val="00F6774C"/>
    <w:rsid w:val="00F70A55"/>
    <w:rsid w:val="00F70F8B"/>
    <w:rsid w:val="00F7113F"/>
    <w:rsid w:val="00F71474"/>
    <w:rsid w:val="00F72898"/>
    <w:rsid w:val="00F737FB"/>
    <w:rsid w:val="00F75448"/>
    <w:rsid w:val="00F762BF"/>
    <w:rsid w:val="00F77D3A"/>
    <w:rsid w:val="00F817FD"/>
    <w:rsid w:val="00F8192F"/>
    <w:rsid w:val="00F8588B"/>
    <w:rsid w:val="00F858DE"/>
    <w:rsid w:val="00F9155E"/>
    <w:rsid w:val="00F92789"/>
    <w:rsid w:val="00F9429E"/>
    <w:rsid w:val="00F97F8C"/>
    <w:rsid w:val="00FA0114"/>
    <w:rsid w:val="00FA0930"/>
    <w:rsid w:val="00FA0F66"/>
    <w:rsid w:val="00FA275F"/>
    <w:rsid w:val="00FA4929"/>
    <w:rsid w:val="00FA5BF5"/>
    <w:rsid w:val="00FA5F00"/>
    <w:rsid w:val="00FA6F04"/>
    <w:rsid w:val="00FA7894"/>
    <w:rsid w:val="00FB0AF7"/>
    <w:rsid w:val="00FB19AB"/>
    <w:rsid w:val="00FB2794"/>
    <w:rsid w:val="00FB3F46"/>
    <w:rsid w:val="00FB4145"/>
    <w:rsid w:val="00FB573F"/>
    <w:rsid w:val="00FB5FE6"/>
    <w:rsid w:val="00FB60A8"/>
    <w:rsid w:val="00FB78DB"/>
    <w:rsid w:val="00FC10B5"/>
    <w:rsid w:val="00FC2559"/>
    <w:rsid w:val="00FC294B"/>
    <w:rsid w:val="00FC3725"/>
    <w:rsid w:val="00FC41A7"/>
    <w:rsid w:val="00FD1AD9"/>
    <w:rsid w:val="00FD1CB4"/>
    <w:rsid w:val="00FD40DC"/>
    <w:rsid w:val="00FD4240"/>
    <w:rsid w:val="00FD57FD"/>
    <w:rsid w:val="00FD64E4"/>
    <w:rsid w:val="00FD7660"/>
    <w:rsid w:val="00FD7BB2"/>
    <w:rsid w:val="00FE0997"/>
    <w:rsid w:val="00FE0E02"/>
    <w:rsid w:val="00FE135F"/>
    <w:rsid w:val="00FE2CB9"/>
    <w:rsid w:val="00FE3A05"/>
    <w:rsid w:val="00FE4EFA"/>
    <w:rsid w:val="00FE539F"/>
    <w:rsid w:val="00FE6C7C"/>
    <w:rsid w:val="00FE7C34"/>
    <w:rsid w:val="00FF0387"/>
    <w:rsid w:val="00FF0B2D"/>
    <w:rsid w:val="00FF0BCA"/>
    <w:rsid w:val="00FF11FA"/>
    <w:rsid w:val="00FF359A"/>
    <w:rsid w:val="00FF4D9A"/>
    <w:rsid w:val="00FF5586"/>
    <w:rsid w:val="00FF62DF"/>
    <w:rsid w:val="00FF6B7D"/>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83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4"/>
        <w:szCs w:val="24"/>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iPriority="0" w:unhideWhenUsed="0"/>
    <w:lsdException w:name="caption" w:locked="1" w:semiHidden="0" w:uiPriority="35"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53"/>
    <w:pPr>
      <w:autoSpaceDE w:val="0"/>
      <w:autoSpaceDN w:val="0"/>
      <w:adjustRightInd w:val="0"/>
      <w:ind w:left="-450" w:right="-720"/>
      <w:jc w:val="both"/>
    </w:pPr>
    <w:rPr>
      <w:rFonts w:ascii="Times New Roman" w:hAnsi="Times New Roman" w:cs="Times New Roman"/>
      <w:sz w:val="26"/>
      <w:szCs w:val="26"/>
    </w:rPr>
  </w:style>
  <w:style w:type="paragraph" w:styleId="Heading1">
    <w:name w:val="heading 1"/>
    <w:basedOn w:val="Normal"/>
    <w:next w:val="Normal"/>
    <w:link w:val="Heading1Char"/>
    <w:uiPriority w:val="99"/>
    <w:qFormat/>
    <w:rsid w:val="00776B44"/>
    <w:pPr>
      <w:keepNext/>
      <w:outlineLvl w:val="0"/>
    </w:pPr>
    <w:rPr>
      <w:rFonts w:ascii="Arial" w:hAnsi="Arial"/>
      <w:b/>
      <w:bCs/>
      <w:sz w:val="24"/>
      <w:szCs w:val="24"/>
      <w:lang w:val="en-GB" w:eastAsia="da-DK"/>
    </w:rPr>
  </w:style>
  <w:style w:type="paragraph" w:styleId="Heading3">
    <w:name w:val="heading 3"/>
    <w:basedOn w:val="Normal"/>
    <w:next w:val="Normal"/>
    <w:link w:val="Heading3Char"/>
    <w:uiPriority w:val="99"/>
    <w:qFormat/>
    <w:rsid w:val="00776B44"/>
    <w:pPr>
      <w:keepNext/>
      <w:spacing w:before="240" w:after="60"/>
      <w:outlineLvl w:val="2"/>
    </w:pPr>
    <w:rPr>
      <w:rFonts w:ascii="Arial" w:hAnsi="Arial"/>
      <w:b/>
      <w:bCs/>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B44"/>
    <w:rPr>
      <w:rFonts w:ascii="Arial" w:hAnsi="Arial" w:cs="Arial"/>
      <w:b/>
      <w:bCs/>
      <w:sz w:val="24"/>
      <w:szCs w:val="24"/>
      <w:lang w:val="en-GB" w:eastAsia="da-DK"/>
    </w:rPr>
  </w:style>
  <w:style w:type="character" w:customStyle="1" w:styleId="Heading3Char">
    <w:name w:val="Heading 3 Char"/>
    <w:link w:val="Heading3"/>
    <w:uiPriority w:val="99"/>
    <w:locked/>
    <w:rsid w:val="00776B44"/>
    <w:rPr>
      <w:rFonts w:ascii="Arial" w:hAnsi="Arial" w:cs="Arial"/>
      <w:b/>
      <w:bCs/>
      <w:sz w:val="26"/>
      <w:szCs w:val="26"/>
      <w:lang w:val="en-GB" w:eastAsia="da-DK"/>
    </w:rPr>
  </w:style>
  <w:style w:type="table" w:styleId="TableGrid">
    <w:name w:val="Table Grid"/>
    <w:basedOn w:val="TableNormal"/>
    <w:uiPriority w:val="59"/>
    <w:rsid w:val="001F2AE9"/>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F2AE9"/>
    <w:rPr>
      <w:rFonts w:ascii="Tahoma" w:hAnsi="Tahoma"/>
      <w:sz w:val="16"/>
      <w:szCs w:val="16"/>
    </w:rPr>
  </w:style>
  <w:style w:type="character" w:customStyle="1" w:styleId="BalloonTextChar">
    <w:name w:val="Balloon Text Char"/>
    <w:link w:val="BalloonText"/>
    <w:uiPriority w:val="99"/>
    <w:semiHidden/>
    <w:locked/>
    <w:rsid w:val="001F2AE9"/>
    <w:rPr>
      <w:rFonts w:ascii="Tahoma" w:hAnsi="Tahoma" w:cs="Tahoma"/>
      <w:sz w:val="16"/>
      <w:szCs w:val="16"/>
    </w:rPr>
  </w:style>
  <w:style w:type="paragraph" w:styleId="Header">
    <w:name w:val="header"/>
    <w:basedOn w:val="Normal"/>
    <w:link w:val="HeaderChar"/>
    <w:uiPriority w:val="99"/>
    <w:rsid w:val="00D23937"/>
    <w:pPr>
      <w:tabs>
        <w:tab w:val="center" w:pos="4320"/>
        <w:tab w:val="right" w:pos="8640"/>
      </w:tabs>
    </w:pPr>
    <w:rPr>
      <w:rFonts w:ascii="Calibri" w:hAnsi="Calibri"/>
      <w:sz w:val="20"/>
      <w:szCs w:val="20"/>
    </w:rPr>
  </w:style>
  <w:style w:type="character" w:customStyle="1" w:styleId="HeaderChar">
    <w:name w:val="Header Char"/>
    <w:link w:val="Header"/>
    <w:uiPriority w:val="99"/>
    <w:locked/>
    <w:rsid w:val="00D23937"/>
    <w:rPr>
      <w:rFonts w:cs="Times New Roman"/>
    </w:rPr>
  </w:style>
  <w:style w:type="paragraph" w:styleId="Footer">
    <w:name w:val="footer"/>
    <w:basedOn w:val="Normal"/>
    <w:link w:val="FooterChar"/>
    <w:uiPriority w:val="99"/>
    <w:rsid w:val="00D23937"/>
    <w:pPr>
      <w:tabs>
        <w:tab w:val="center" w:pos="4320"/>
        <w:tab w:val="right" w:pos="8640"/>
      </w:tabs>
    </w:pPr>
    <w:rPr>
      <w:rFonts w:ascii="Calibri" w:hAnsi="Calibri"/>
      <w:sz w:val="20"/>
      <w:szCs w:val="20"/>
    </w:rPr>
  </w:style>
  <w:style w:type="character" w:customStyle="1" w:styleId="FooterChar">
    <w:name w:val="Footer Char"/>
    <w:link w:val="Footer"/>
    <w:uiPriority w:val="99"/>
    <w:locked/>
    <w:rsid w:val="00D23937"/>
    <w:rPr>
      <w:rFonts w:cs="Times New Roman"/>
    </w:rPr>
  </w:style>
  <w:style w:type="paragraph" w:styleId="BodyText">
    <w:name w:val="Body Text"/>
    <w:basedOn w:val="Normal"/>
    <w:link w:val="BodyTextChar"/>
    <w:uiPriority w:val="99"/>
    <w:semiHidden/>
    <w:rsid w:val="00C82773"/>
    <w:rPr>
      <w:i/>
      <w:iCs/>
      <w:sz w:val="24"/>
      <w:szCs w:val="24"/>
      <w:lang w:val="en-GB" w:eastAsia="da-DK"/>
    </w:rPr>
  </w:style>
  <w:style w:type="character" w:customStyle="1" w:styleId="BodyTextChar">
    <w:name w:val="Body Text Char"/>
    <w:link w:val="BodyText"/>
    <w:uiPriority w:val="99"/>
    <w:semiHidden/>
    <w:locked/>
    <w:rsid w:val="00C82773"/>
    <w:rPr>
      <w:rFonts w:ascii="Times New Roman" w:hAnsi="Times New Roman" w:cs="Times New Roman"/>
      <w:i/>
      <w:iCs/>
      <w:sz w:val="24"/>
      <w:szCs w:val="24"/>
      <w:lang w:val="en-GB" w:eastAsia="da-DK"/>
    </w:rPr>
  </w:style>
  <w:style w:type="paragraph" w:customStyle="1" w:styleId="MediumGrid1-Accent21">
    <w:name w:val="Medium Grid 1 - Accent 21"/>
    <w:basedOn w:val="Normal"/>
    <w:uiPriority w:val="99"/>
    <w:qFormat/>
    <w:rsid w:val="00C82773"/>
    <w:pPr>
      <w:ind w:left="720"/>
      <w:contextualSpacing/>
    </w:pPr>
  </w:style>
  <w:style w:type="paragraph" w:styleId="NormalWeb">
    <w:name w:val="Normal (Web)"/>
    <w:basedOn w:val="Normal"/>
    <w:uiPriority w:val="99"/>
    <w:rsid w:val="00C82773"/>
    <w:pPr>
      <w:spacing w:before="100" w:beforeAutospacing="1" w:after="100" w:afterAutospacing="1"/>
    </w:pPr>
    <w:rPr>
      <w:sz w:val="24"/>
      <w:szCs w:val="24"/>
    </w:rPr>
  </w:style>
  <w:style w:type="paragraph" w:styleId="FootnoteText">
    <w:name w:val="footnote text"/>
    <w:basedOn w:val="Normal"/>
    <w:link w:val="FootnoteTextChar"/>
    <w:uiPriority w:val="99"/>
    <w:rsid w:val="000609FB"/>
    <w:rPr>
      <w:sz w:val="20"/>
      <w:szCs w:val="20"/>
      <w:lang w:val="da-DK" w:eastAsia="da-DK"/>
    </w:rPr>
  </w:style>
  <w:style w:type="character" w:customStyle="1" w:styleId="FootnoteTextChar">
    <w:name w:val="Footnote Text Char"/>
    <w:link w:val="FootnoteText"/>
    <w:uiPriority w:val="99"/>
    <w:locked/>
    <w:rsid w:val="000609FB"/>
    <w:rPr>
      <w:rFonts w:ascii="Times New Roman" w:hAnsi="Times New Roman" w:cs="Times New Roman"/>
      <w:sz w:val="20"/>
      <w:szCs w:val="20"/>
      <w:lang w:val="da-DK" w:eastAsia="da-DK"/>
    </w:rPr>
  </w:style>
  <w:style w:type="character" w:styleId="FootnoteReference">
    <w:name w:val="footnote reference"/>
    <w:uiPriority w:val="99"/>
    <w:semiHidden/>
    <w:rsid w:val="000609FB"/>
    <w:rPr>
      <w:rFonts w:cs="Times New Roman"/>
      <w:vertAlign w:val="superscript"/>
    </w:rPr>
  </w:style>
  <w:style w:type="paragraph" w:customStyle="1" w:styleId="DecimalAligned">
    <w:name w:val="Decimal Aligned"/>
    <w:basedOn w:val="Normal"/>
    <w:uiPriority w:val="99"/>
    <w:rsid w:val="002B0DA3"/>
    <w:pPr>
      <w:tabs>
        <w:tab w:val="decimal" w:pos="360"/>
      </w:tabs>
      <w:autoSpaceDE/>
      <w:autoSpaceDN/>
      <w:adjustRightInd/>
      <w:spacing w:after="200" w:line="276" w:lineRule="auto"/>
      <w:ind w:left="0" w:right="0"/>
      <w:jc w:val="left"/>
    </w:pPr>
    <w:rPr>
      <w:rFonts w:ascii="Calibri" w:hAnsi="Calibri" w:cs="Arial"/>
      <w:sz w:val="22"/>
      <w:szCs w:val="22"/>
    </w:rPr>
  </w:style>
  <w:style w:type="character" w:customStyle="1" w:styleId="SubtleEmphasis1">
    <w:name w:val="Subtle Emphasis1"/>
    <w:uiPriority w:val="99"/>
    <w:qFormat/>
    <w:rsid w:val="002B0DA3"/>
    <w:rPr>
      <w:rFonts w:eastAsia="SimSun" w:cs="Arial"/>
      <w:i/>
      <w:iCs/>
      <w:color w:val="808080"/>
      <w:sz w:val="22"/>
      <w:szCs w:val="22"/>
      <w:lang w:val="en-US"/>
    </w:rPr>
  </w:style>
  <w:style w:type="table" w:styleId="MediumGrid2-Accent6">
    <w:name w:val="Medium Grid 2 Accent 6"/>
    <w:basedOn w:val="TableNormal"/>
    <w:uiPriority w:val="99"/>
    <w:rsid w:val="002B0D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paragraph" w:customStyle="1" w:styleId="MediumShading1-Accent11">
    <w:name w:val="Medium Shading 1 - Accent 11"/>
    <w:qFormat/>
    <w:rsid w:val="0074057E"/>
    <w:rPr>
      <w:rFonts w:eastAsia="Calibri" w:cs="Angsana New"/>
      <w:sz w:val="22"/>
      <w:szCs w:val="22"/>
    </w:rPr>
  </w:style>
  <w:style w:type="character" w:customStyle="1" w:styleId="longtext">
    <w:name w:val="long_text"/>
    <w:basedOn w:val="DefaultParagraphFont"/>
    <w:rsid w:val="00376DE8"/>
  </w:style>
  <w:style w:type="paragraph" w:styleId="PlainText">
    <w:name w:val="Plain Text"/>
    <w:basedOn w:val="Normal"/>
    <w:link w:val="PlainTextChar"/>
    <w:uiPriority w:val="99"/>
    <w:unhideWhenUsed/>
    <w:rsid w:val="008B3165"/>
    <w:pPr>
      <w:autoSpaceDE/>
      <w:autoSpaceDN/>
      <w:adjustRightInd/>
      <w:ind w:left="0" w:right="0"/>
      <w:jc w:val="left"/>
    </w:pPr>
    <w:rPr>
      <w:rFonts w:ascii="Calibri" w:eastAsia="Calibri" w:hAnsi="Calibri"/>
      <w:sz w:val="22"/>
      <w:szCs w:val="21"/>
    </w:rPr>
  </w:style>
  <w:style w:type="character" w:customStyle="1" w:styleId="PlainTextChar">
    <w:name w:val="Plain Text Char"/>
    <w:link w:val="PlainText"/>
    <w:uiPriority w:val="99"/>
    <w:rsid w:val="008B3165"/>
    <w:rPr>
      <w:rFonts w:eastAsia="Calibri" w:cs="Times New Roman"/>
      <w:sz w:val="22"/>
      <w:szCs w:val="21"/>
    </w:rPr>
  </w:style>
  <w:style w:type="character" w:styleId="CommentReference">
    <w:name w:val="annotation reference"/>
    <w:uiPriority w:val="99"/>
    <w:semiHidden/>
    <w:unhideWhenUsed/>
    <w:rsid w:val="00E306C3"/>
    <w:rPr>
      <w:sz w:val="16"/>
      <w:szCs w:val="16"/>
    </w:rPr>
  </w:style>
  <w:style w:type="paragraph" w:styleId="CommentText">
    <w:name w:val="annotation text"/>
    <w:basedOn w:val="Normal"/>
    <w:link w:val="CommentTextChar"/>
    <w:uiPriority w:val="99"/>
    <w:semiHidden/>
    <w:unhideWhenUsed/>
    <w:rsid w:val="00E306C3"/>
    <w:rPr>
      <w:sz w:val="20"/>
      <w:szCs w:val="20"/>
    </w:rPr>
  </w:style>
  <w:style w:type="character" w:customStyle="1" w:styleId="CommentTextChar">
    <w:name w:val="Comment Text Char"/>
    <w:link w:val="CommentText"/>
    <w:uiPriority w:val="99"/>
    <w:semiHidden/>
    <w:rsid w:val="00E306C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306C3"/>
    <w:rPr>
      <w:b/>
      <w:bCs/>
    </w:rPr>
  </w:style>
  <w:style w:type="character" w:customStyle="1" w:styleId="CommentSubjectChar">
    <w:name w:val="Comment Subject Char"/>
    <w:link w:val="CommentSubject"/>
    <w:uiPriority w:val="99"/>
    <w:semiHidden/>
    <w:rsid w:val="00E306C3"/>
    <w:rPr>
      <w:rFonts w:ascii="Times New Roman" w:hAnsi="Times New Roman" w:cs="Times New Roman"/>
      <w:b/>
      <w:bCs/>
    </w:rPr>
  </w:style>
  <w:style w:type="paragraph" w:customStyle="1" w:styleId="CharCharChar">
    <w:name w:val="Char Char Char"/>
    <w:basedOn w:val="Normal"/>
    <w:next w:val="Normal"/>
    <w:rsid w:val="00B9774F"/>
    <w:pPr>
      <w:autoSpaceDE/>
      <w:autoSpaceDN/>
      <w:adjustRightInd/>
      <w:spacing w:after="160" w:line="240" w:lineRule="exact"/>
      <w:ind w:left="0" w:right="0"/>
      <w:jc w:val="left"/>
    </w:pPr>
    <w:rPr>
      <w:rFonts w:ascii="Tahoma" w:eastAsia="Times New Roman" w:hAnsi="Tahoma"/>
      <w:sz w:val="24"/>
      <w:szCs w:val="20"/>
    </w:rPr>
  </w:style>
  <w:style w:type="paragraph" w:customStyle="1" w:styleId="Default">
    <w:name w:val="Default"/>
    <w:rsid w:val="006B0706"/>
    <w:pPr>
      <w:autoSpaceDE w:val="0"/>
      <w:autoSpaceDN w:val="0"/>
      <w:adjustRightInd w:val="0"/>
    </w:pPr>
    <w:rPr>
      <w:rFonts w:ascii="Arial" w:hAnsi="Arial"/>
      <w:color w:val="000000"/>
    </w:rPr>
  </w:style>
  <w:style w:type="paragraph" w:styleId="EndnoteText">
    <w:name w:val="endnote text"/>
    <w:basedOn w:val="Normal"/>
    <w:link w:val="EndnoteTextChar"/>
    <w:uiPriority w:val="99"/>
    <w:semiHidden/>
    <w:unhideWhenUsed/>
    <w:rsid w:val="004A64ED"/>
    <w:rPr>
      <w:sz w:val="20"/>
      <w:szCs w:val="20"/>
    </w:rPr>
  </w:style>
  <w:style w:type="character" w:customStyle="1" w:styleId="EndnoteTextChar">
    <w:name w:val="Endnote Text Char"/>
    <w:link w:val="EndnoteText"/>
    <w:uiPriority w:val="99"/>
    <w:semiHidden/>
    <w:rsid w:val="004A64ED"/>
    <w:rPr>
      <w:rFonts w:ascii="Times New Roman" w:hAnsi="Times New Roman" w:cs="Times New Roman"/>
    </w:rPr>
  </w:style>
  <w:style w:type="character" w:styleId="EndnoteReference">
    <w:name w:val="endnote reference"/>
    <w:uiPriority w:val="99"/>
    <w:semiHidden/>
    <w:unhideWhenUsed/>
    <w:rsid w:val="004A64ED"/>
    <w:rPr>
      <w:vertAlign w:val="superscript"/>
    </w:rPr>
  </w:style>
  <w:style w:type="paragraph" w:styleId="Caption">
    <w:name w:val="caption"/>
    <w:basedOn w:val="Normal"/>
    <w:next w:val="Normal"/>
    <w:uiPriority w:val="35"/>
    <w:qFormat/>
    <w:locked/>
    <w:rsid w:val="00FD1AD9"/>
    <w:pPr>
      <w:autoSpaceDE/>
      <w:autoSpaceDN/>
      <w:adjustRightInd/>
      <w:spacing w:after="200"/>
      <w:ind w:left="0" w:right="0"/>
      <w:jc w:val="left"/>
    </w:pPr>
    <w:rPr>
      <w:rFonts w:ascii="Calibri" w:eastAsia="Calibri" w:hAnsi="Calibri"/>
      <w:b/>
      <w:bCs/>
      <w:color w:val="4F81BD"/>
      <w:sz w:val="18"/>
      <w:szCs w:val="18"/>
    </w:rPr>
  </w:style>
  <w:style w:type="character" w:styleId="Hyperlink">
    <w:name w:val="Hyperlink"/>
    <w:uiPriority w:val="99"/>
    <w:unhideWhenUsed/>
    <w:rsid w:val="00D703C8"/>
    <w:rPr>
      <w:color w:val="0000FF"/>
      <w:u w:val="single"/>
    </w:rPr>
  </w:style>
  <w:style w:type="table" w:customStyle="1" w:styleId="TableGrid1">
    <w:name w:val="Table Grid1"/>
    <w:basedOn w:val="TableNormal"/>
    <w:next w:val="TableGrid"/>
    <w:uiPriority w:val="59"/>
    <w:rsid w:val="00A91566"/>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1426AB"/>
  </w:style>
  <w:style w:type="paragraph" w:customStyle="1" w:styleId="MediumList2-Accent21">
    <w:name w:val="Medium List 2 - Accent 21"/>
    <w:hidden/>
    <w:uiPriority w:val="99"/>
    <w:semiHidden/>
    <w:rsid w:val="00640C06"/>
    <w:rPr>
      <w:rFonts w:ascii="Times New Roman" w:hAnsi="Times New Roman" w:cs="Times New Roman"/>
      <w:sz w:val="26"/>
      <w:szCs w:val="26"/>
    </w:rPr>
  </w:style>
  <w:style w:type="character" w:customStyle="1" w:styleId="apple-converted-space">
    <w:name w:val="apple-converted-space"/>
    <w:rsid w:val="00D0323A"/>
  </w:style>
  <w:style w:type="paragraph" w:styleId="BodyTextIndent2">
    <w:name w:val="Body Text Indent 2"/>
    <w:basedOn w:val="Normal"/>
    <w:link w:val="BodyTextIndent2Char"/>
    <w:uiPriority w:val="99"/>
    <w:semiHidden/>
    <w:unhideWhenUsed/>
    <w:rsid w:val="00E1183C"/>
    <w:pPr>
      <w:spacing w:after="120" w:line="480" w:lineRule="auto"/>
      <w:ind w:left="360"/>
    </w:pPr>
  </w:style>
  <w:style w:type="character" w:customStyle="1" w:styleId="BodyTextIndent2Char">
    <w:name w:val="Body Text Indent 2 Char"/>
    <w:link w:val="BodyTextIndent2"/>
    <w:uiPriority w:val="99"/>
    <w:semiHidden/>
    <w:rsid w:val="00E1183C"/>
    <w:rPr>
      <w:rFonts w:ascii="Times New Roman" w:hAnsi="Times New Roman" w:cs="Times New Roman"/>
      <w:sz w:val="26"/>
      <w:szCs w:val="26"/>
    </w:rPr>
  </w:style>
  <w:style w:type="character" w:styleId="FollowedHyperlink">
    <w:name w:val="FollowedHyperlink"/>
    <w:uiPriority w:val="99"/>
    <w:semiHidden/>
    <w:unhideWhenUsed/>
    <w:rsid w:val="006C3346"/>
    <w:rPr>
      <w:color w:val="800080"/>
      <w:u w:val="single"/>
    </w:rPr>
  </w:style>
  <w:style w:type="paragraph" w:customStyle="1" w:styleId="ColorfulShading-Accent11">
    <w:name w:val="Colorful Shading - Accent 11"/>
    <w:hidden/>
    <w:uiPriority w:val="71"/>
    <w:rsid w:val="00614490"/>
    <w:rPr>
      <w:rFonts w:ascii="Times New Roman" w:hAnsi="Times New Roman" w:cs="Times New Roman"/>
      <w:sz w:val="26"/>
      <w:szCs w:val="26"/>
    </w:rPr>
  </w:style>
  <w:style w:type="paragraph" w:styleId="Revision">
    <w:name w:val="Revision"/>
    <w:hidden/>
    <w:uiPriority w:val="99"/>
    <w:semiHidden/>
    <w:rsid w:val="007206E2"/>
    <w:rPr>
      <w:rFonts w:ascii="Times New Roman" w:hAnsi="Times New Roman" w:cs="Times New Roman"/>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4"/>
        <w:szCs w:val="24"/>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iPriority="0" w:unhideWhenUsed="0"/>
    <w:lsdException w:name="caption" w:locked="1" w:semiHidden="0" w:uiPriority="35"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53"/>
    <w:pPr>
      <w:autoSpaceDE w:val="0"/>
      <w:autoSpaceDN w:val="0"/>
      <w:adjustRightInd w:val="0"/>
      <w:ind w:left="-450" w:right="-720"/>
      <w:jc w:val="both"/>
    </w:pPr>
    <w:rPr>
      <w:rFonts w:ascii="Times New Roman" w:hAnsi="Times New Roman" w:cs="Times New Roman"/>
      <w:sz w:val="26"/>
      <w:szCs w:val="26"/>
    </w:rPr>
  </w:style>
  <w:style w:type="paragraph" w:styleId="Heading1">
    <w:name w:val="heading 1"/>
    <w:basedOn w:val="Normal"/>
    <w:next w:val="Normal"/>
    <w:link w:val="Heading1Char"/>
    <w:uiPriority w:val="99"/>
    <w:qFormat/>
    <w:rsid w:val="00776B44"/>
    <w:pPr>
      <w:keepNext/>
      <w:outlineLvl w:val="0"/>
    </w:pPr>
    <w:rPr>
      <w:rFonts w:ascii="Arial" w:hAnsi="Arial"/>
      <w:b/>
      <w:bCs/>
      <w:sz w:val="24"/>
      <w:szCs w:val="24"/>
      <w:lang w:val="en-GB" w:eastAsia="da-DK"/>
    </w:rPr>
  </w:style>
  <w:style w:type="paragraph" w:styleId="Heading3">
    <w:name w:val="heading 3"/>
    <w:basedOn w:val="Normal"/>
    <w:next w:val="Normal"/>
    <w:link w:val="Heading3Char"/>
    <w:uiPriority w:val="99"/>
    <w:qFormat/>
    <w:rsid w:val="00776B44"/>
    <w:pPr>
      <w:keepNext/>
      <w:spacing w:before="240" w:after="60"/>
      <w:outlineLvl w:val="2"/>
    </w:pPr>
    <w:rPr>
      <w:rFonts w:ascii="Arial" w:hAnsi="Arial"/>
      <w:b/>
      <w:bCs/>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B44"/>
    <w:rPr>
      <w:rFonts w:ascii="Arial" w:hAnsi="Arial" w:cs="Arial"/>
      <w:b/>
      <w:bCs/>
      <w:sz w:val="24"/>
      <w:szCs w:val="24"/>
      <w:lang w:val="en-GB" w:eastAsia="da-DK"/>
    </w:rPr>
  </w:style>
  <w:style w:type="character" w:customStyle="1" w:styleId="Heading3Char">
    <w:name w:val="Heading 3 Char"/>
    <w:link w:val="Heading3"/>
    <w:uiPriority w:val="99"/>
    <w:locked/>
    <w:rsid w:val="00776B44"/>
    <w:rPr>
      <w:rFonts w:ascii="Arial" w:hAnsi="Arial" w:cs="Arial"/>
      <w:b/>
      <w:bCs/>
      <w:sz w:val="26"/>
      <w:szCs w:val="26"/>
      <w:lang w:val="en-GB" w:eastAsia="da-DK"/>
    </w:rPr>
  </w:style>
  <w:style w:type="table" w:styleId="TableGrid">
    <w:name w:val="Table Grid"/>
    <w:basedOn w:val="TableNormal"/>
    <w:uiPriority w:val="59"/>
    <w:rsid w:val="001F2AE9"/>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F2AE9"/>
    <w:rPr>
      <w:rFonts w:ascii="Tahoma" w:hAnsi="Tahoma"/>
      <w:sz w:val="16"/>
      <w:szCs w:val="16"/>
    </w:rPr>
  </w:style>
  <w:style w:type="character" w:customStyle="1" w:styleId="BalloonTextChar">
    <w:name w:val="Balloon Text Char"/>
    <w:link w:val="BalloonText"/>
    <w:uiPriority w:val="99"/>
    <w:semiHidden/>
    <w:locked/>
    <w:rsid w:val="001F2AE9"/>
    <w:rPr>
      <w:rFonts w:ascii="Tahoma" w:hAnsi="Tahoma" w:cs="Tahoma"/>
      <w:sz w:val="16"/>
      <w:szCs w:val="16"/>
    </w:rPr>
  </w:style>
  <w:style w:type="paragraph" w:styleId="Header">
    <w:name w:val="header"/>
    <w:basedOn w:val="Normal"/>
    <w:link w:val="HeaderChar"/>
    <w:uiPriority w:val="99"/>
    <w:rsid w:val="00D23937"/>
    <w:pPr>
      <w:tabs>
        <w:tab w:val="center" w:pos="4320"/>
        <w:tab w:val="right" w:pos="8640"/>
      </w:tabs>
    </w:pPr>
    <w:rPr>
      <w:rFonts w:ascii="Calibri" w:hAnsi="Calibri"/>
      <w:sz w:val="20"/>
      <w:szCs w:val="20"/>
    </w:rPr>
  </w:style>
  <w:style w:type="character" w:customStyle="1" w:styleId="HeaderChar">
    <w:name w:val="Header Char"/>
    <w:link w:val="Header"/>
    <w:uiPriority w:val="99"/>
    <w:locked/>
    <w:rsid w:val="00D23937"/>
    <w:rPr>
      <w:rFonts w:cs="Times New Roman"/>
    </w:rPr>
  </w:style>
  <w:style w:type="paragraph" w:styleId="Footer">
    <w:name w:val="footer"/>
    <w:basedOn w:val="Normal"/>
    <w:link w:val="FooterChar"/>
    <w:uiPriority w:val="99"/>
    <w:rsid w:val="00D23937"/>
    <w:pPr>
      <w:tabs>
        <w:tab w:val="center" w:pos="4320"/>
        <w:tab w:val="right" w:pos="8640"/>
      </w:tabs>
    </w:pPr>
    <w:rPr>
      <w:rFonts w:ascii="Calibri" w:hAnsi="Calibri"/>
      <w:sz w:val="20"/>
      <w:szCs w:val="20"/>
    </w:rPr>
  </w:style>
  <w:style w:type="character" w:customStyle="1" w:styleId="FooterChar">
    <w:name w:val="Footer Char"/>
    <w:link w:val="Footer"/>
    <w:uiPriority w:val="99"/>
    <w:locked/>
    <w:rsid w:val="00D23937"/>
    <w:rPr>
      <w:rFonts w:cs="Times New Roman"/>
    </w:rPr>
  </w:style>
  <w:style w:type="paragraph" w:styleId="BodyText">
    <w:name w:val="Body Text"/>
    <w:basedOn w:val="Normal"/>
    <w:link w:val="BodyTextChar"/>
    <w:uiPriority w:val="99"/>
    <w:semiHidden/>
    <w:rsid w:val="00C82773"/>
    <w:rPr>
      <w:i/>
      <w:iCs/>
      <w:sz w:val="24"/>
      <w:szCs w:val="24"/>
      <w:lang w:val="en-GB" w:eastAsia="da-DK"/>
    </w:rPr>
  </w:style>
  <w:style w:type="character" w:customStyle="1" w:styleId="BodyTextChar">
    <w:name w:val="Body Text Char"/>
    <w:link w:val="BodyText"/>
    <w:uiPriority w:val="99"/>
    <w:semiHidden/>
    <w:locked/>
    <w:rsid w:val="00C82773"/>
    <w:rPr>
      <w:rFonts w:ascii="Times New Roman" w:hAnsi="Times New Roman" w:cs="Times New Roman"/>
      <w:i/>
      <w:iCs/>
      <w:sz w:val="24"/>
      <w:szCs w:val="24"/>
      <w:lang w:val="en-GB" w:eastAsia="da-DK"/>
    </w:rPr>
  </w:style>
  <w:style w:type="paragraph" w:customStyle="1" w:styleId="MediumGrid1-Accent21">
    <w:name w:val="Medium Grid 1 - Accent 21"/>
    <w:basedOn w:val="Normal"/>
    <w:uiPriority w:val="99"/>
    <w:qFormat/>
    <w:rsid w:val="00C82773"/>
    <w:pPr>
      <w:ind w:left="720"/>
      <w:contextualSpacing/>
    </w:pPr>
  </w:style>
  <w:style w:type="paragraph" w:styleId="NormalWeb">
    <w:name w:val="Normal (Web)"/>
    <w:basedOn w:val="Normal"/>
    <w:uiPriority w:val="99"/>
    <w:rsid w:val="00C82773"/>
    <w:pPr>
      <w:spacing w:before="100" w:beforeAutospacing="1" w:after="100" w:afterAutospacing="1"/>
    </w:pPr>
    <w:rPr>
      <w:sz w:val="24"/>
      <w:szCs w:val="24"/>
    </w:rPr>
  </w:style>
  <w:style w:type="paragraph" w:styleId="FootnoteText">
    <w:name w:val="footnote text"/>
    <w:basedOn w:val="Normal"/>
    <w:link w:val="FootnoteTextChar"/>
    <w:uiPriority w:val="99"/>
    <w:rsid w:val="000609FB"/>
    <w:rPr>
      <w:sz w:val="20"/>
      <w:szCs w:val="20"/>
      <w:lang w:val="da-DK" w:eastAsia="da-DK"/>
    </w:rPr>
  </w:style>
  <w:style w:type="character" w:customStyle="1" w:styleId="FootnoteTextChar">
    <w:name w:val="Footnote Text Char"/>
    <w:link w:val="FootnoteText"/>
    <w:uiPriority w:val="99"/>
    <w:locked/>
    <w:rsid w:val="000609FB"/>
    <w:rPr>
      <w:rFonts w:ascii="Times New Roman" w:hAnsi="Times New Roman" w:cs="Times New Roman"/>
      <w:sz w:val="20"/>
      <w:szCs w:val="20"/>
      <w:lang w:val="da-DK" w:eastAsia="da-DK"/>
    </w:rPr>
  </w:style>
  <w:style w:type="character" w:styleId="FootnoteReference">
    <w:name w:val="footnote reference"/>
    <w:uiPriority w:val="99"/>
    <w:semiHidden/>
    <w:rsid w:val="000609FB"/>
    <w:rPr>
      <w:rFonts w:cs="Times New Roman"/>
      <w:vertAlign w:val="superscript"/>
    </w:rPr>
  </w:style>
  <w:style w:type="paragraph" w:customStyle="1" w:styleId="DecimalAligned">
    <w:name w:val="Decimal Aligned"/>
    <w:basedOn w:val="Normal"/>
    <w:uiPriority w:val="99"/>
    <w:rsid w:val="002B0DA3"/>
    <w:pPr>
      <w:tabs>
        <w:tab w:val="decimal" w:pos="360"/>
      </w:tabs>
      <w:autoSpaceDE/>
      <w:autoSpaceDN/>
      <w:adjustRightInd/>
      <w:spacing w:after="200" w:line="276" w:lineRule="auto"/>
      <w:ind w:left="0" w:right="0"/>
      <w:jc w:val="left"/>
    </w:pPr>
    <w:rPr>
      <w:rFonts w:ascii="Calibri" w:hAnsi="Calibri" w:cs="Arial"/>
      <w:sz w:val="22"/>
      <w:szCs w:val="22"/>
    </w:rPr>
  </w:style>
  <w:style w:type="character" w:customStyle="1" w:styleId="SubtleEmphasis1">
    <w:name w:val="Subtle Emphasis1"/>
    <w:uiPriority w:val="99"/>
    <w:qFormat/>
    <w:rsid w:val="002B0DA3"/>
    <w:rPr>
      <w:rFonts w:eastAsia="SimSun" w:cs="Arial"/>
      <w:i/>
      <w:iCs/>
      <w:color w:val="808080"/>
      <w:sz w:val="22"/>
      <w:szCs w:val="22"/>
      <w:lang w:val="en-US"/>
    </w:rPr>
  </w:style>
  <w:style w:type="table" w:styleId="MediumGrid2-Accent6">
    <w:name w:val="Medium Grid 2 Accent 6"/>
    <w:basedOn w:val="TableNormal"/>
    <w:uiPriority w:val="99"/>
    <w:rsid w:val="002B0D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paragraph" w:customStyle="1" w:styleId="MediumShading1-Accent11">
    <w:name w:val="Medium Shading 1 - Accent 11"/>
    <w:qFormat/>
    <w:rsid w:val="0074057E"/>
    <w:rPr>
      <w:rFonts w:eastAsia="Calibri" w:cs="Angsana New"/>
      <w:sz w:val="22"/>
      <w:szCs w:val="22"/>
    </w:rPr>
  </w:style>
  <w:style w:type="character" w:customStyle="1" w:styleId="longtext">
    <w:name w:val="long_text"/>
    <w:basedOn w:val="DefaultParagraphFont"/>
    <w:rsid w:val="00376DE8"/>
  </w:style>
  <w:style w:type="paragraph" w:styleId="PlainText">
    <w:name w:val="Plain Text"/>
    <w:basedOn w:val="Normal"/>
    <w:link w:val="PlainTextChar"/>
    <w:uiPriority w:val="99"/>
    <w:unhideWhenUsed/>
    <w:rsid w:val="008B3165"/>
    <w:pPr>
      <w:autoSpaceDE/>
      <w:autoSpaceDN/>
      <w:adjustRightInd/>
      <w:ind w:left="0" w:right="0"/>
      <w:jc w:val="left"/>
    </w:pPr>
    <w:rPr>
      <w:rFonts w:ascii="Calibri" w:eastAsia="Calibri" w:hAnsi="Calibri"/>
      <w:sz w:val="22"/>
      <w:szCs w:val="21"/>
    </w:rPr>
  </w:style>
  <w:style w:type="character" w:customStyle="1" w:styleId="PlainTextChar">
    <w:name w:val="Plain Text Char"/>
    <w:link w:val="PlainText"/>
    <w:uiPriority w:val="99"/>
    <w:rsid w:val="008B3165"/>
    <w:rPr>
      <w:rFonts w:eastAsia="Calibri" w:cs="Times New Roman"/>
      <w:sz w:val="22"/>
      <w:szCs w:val="21"/>
    </w:rPr>
  </w:style>
  <w:style w:type="character" w:styleId="CommentReference">
    <w:name w:val="annotation reference"/>
    <w:uiPriority w:val="99"/>
    <w:semiHidden/>
    <w:unhideWhenUsed/>
    <w:rsid w:val="00E306C3"/>
    <w:rPr>
      <w:sz w:val="16"/>
      <w:szCs w:val="16"/>
    </w:rPr>
  </w:style>
  <w:style w:type="paragraph" w:styleId="CommentText">
    <w:name w:val="annotation text"/>
    <w:basedOn w:val="Normal"/>
    <w:link w:val="CommentTextChar"/>
    <w:uiPriority w:val="99"/>
    <w:semiHidden/>
    <w:unhideWhenUsed/>
    <w:rsid w:val="00E306C3"/>
    <w:rPr>
      <w:sz w:val="20"/>
      <w:szCs w:val="20"/>
    </w:rPr>
  </w:style>
  <w:style w:type="character" w:customStyle="1" w:styleId="CommentTextChar">
    <w:name w:val="Comment Text Char"/>
    <w:link w:val="CommentText"/>
    <w:uiPriority w:val="99"/>
    <w:semiHidden/>
    <w:rsid w:val="00E306C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306C3"/>
    <w:rPr>
      <w:b/>
      <w:bCs/>
    </w:rPr>
  </w:style>
  <w:style w:type="character" w:customStyle="1" w:styleId="CommentSubjectChar">
    <w:name w:val="Comment Subject Char"/>
    <w:link w:val="CommentSubject"/>
    <w:uiPriority w:val="99"/>
    <w:semiHidden/>
    <w:rsid w:val="00E306C3"/>
    <w:rPr>
      <w:rFonts w:ascii="Times New Roman" w:hAnsi="Times New Roman" w:cs="Times New Roman"/>
      <w:b/>
      <w:bCs/>
    </w:rPr>
  </w:style>
  <w:style w:type="paragraph" w:customStyle="1" w:styleId="CharCharChar">
    <w:name w:val="Char Char Char"/>
    <w:basedOn w:val="Normal"/>
    <w:next w:val="Normal"/>
    <w:rsid w:val="00B9774F"/>
    <w:pPr>
      <w:autoSpaceDE/>
      <w:autoSpaceDN/>
      <w:adjustRightInd/>
      <w:spacing w:after="160" w:line="240" w:lineRule="exact"/>
      <w:ind w:left="0" w:right="0"/>
      <w:jc w:val="left"/>
    </w:pPr>
    <w:rPr>
      <w:rFonts w:ascii="Tahoma" w:eastAsia="Times New Roman" w:hAnsi="Tahoma"/>
      <w:sz w:val="24"/>
      <w:szCs w:val="20"/>
    </w:rPr>
  </w:style>
  <w:style w:type="paragraph" w:customStyle="1" w:styleId="Default">
    <w:name w:val="Default"/>
    <w:rsid w:val="006B0706"/>
    <w:pPr>
      <w:autoSpaceDE w:val="0"/>
      <w:autoSpaceDN w:val="0"/>
      <w:adjustRightInd w:val="0"/>
    </w:pPr>
    <w:rPr>
      <w:rFonts w:ascii="Arial" w:hAnsi="Arial"/>
      <w:color w:val="000000"/>
    </w:rPr>
  </w:style>
  <w:style w:type="paragraph" w:styleId="EndnoteText">
    <w:name w:val="endnote text"/>
    <w:basedOn w:val="Normal"/>
    <w:link w:val="EndnoteTextChar"/>
    <w:uiPriority w:val="99"/>
    <w:semiHidden/>
    <w:unhideWhenUsed/>
    <w:rsid w:val="004A64ED"/>
    <w:rPr>
      <w:sz w:val="20"/>
      <w:szCs w:val="20"/>
    </w:rPr>
  </w:style>
  <w:style w:type="character" w:customStyle="1" w:styleId="EndnoteTextChar">
    <w:name w:val="Endnote Text Char"/>
    <w:link w:val="EndnoteText"/>
    <w:uiPriority w:val="99"/>
    <w:semiHidden/>
    <w:rsid w:val="004A64ED"/>
    <w:rPr>
      <w:rFonts w:ascii="Times New Roman" w:hAnsi="Times New Roman" w:cs="Times New Roman"/>
    </w:rPr>
  </w:style>
  <w:style w:type="character" w:styleId="EndnoteReference">
    <w:name w:val="endnote reference"/>
    <w:uiPriority w:val="99"/>
    <w:semiHidden/>
    <w:unhideWhenUsed/>
    <w:rsid w:val="004A64ED"/>
    <w:rPr>
      <w:vertAlign w:val="superscript"/>
    </w:rPr>
  </w:style>
  <w:style w:type="paragraph" w:styleId="Caption">
    <w:name w:val="caption"/>
    <w:basedOn w:val="Normal"/>
    <w:next w:val="Normal"/>
    <w:uiPriority w:val="35"/>
    <w:qFormat/>
    <w:locked/>
    <w:rsid w:val="00FD1AD9"/>
    <w:pPr>
      <w:autoSpaceDE/>
      <w:autoSpaceDN/>
      <w:adjustRightInd/>
      <w:spacing w:after="200"/>
      <w:ind w:left="0" w:right="0"/>
      <w:jc w:val="left"/>
    </w:pPr>
    <w:rPr>
      <w:rFonts w:ascii="Calibri" w:eastAsia="Calibri" w:hAnsi="Calibri"/>
      <w:b/>
      <w:bCs/>
      <w:color w:val="4F81BD"/>
      <w:sz w:val="18"/>
      <w:szCs w:val="18"/>
    </w:rPr>
  </w:style>
  <w:style w:type="character" w:styleId="Hyperlink">
    <w:name w:val="Hyperlink"/>
    <w:uiPriority w:val="99"/>
    <w:unhideWhenUsed/>
    <w:rsid w:val="00D703C8"/>
    <w:rPr>
      <w:color w:val="0000FF"/>
      <w:u w:val="single"/>
    </w:rPr>
  </w:style>
  <w:style w:type="table" w:customStyle="1" w:styleId="TableGrid1">
    <w:name w:val="Table Grid1"/>
    <w:basedOn w:val="TableNormal"/>
    <w:next w:val="TableGrid"/>
    <w:uiPriority w:val="59"/>
    <w:rsid w:val="00A91566"/>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1426AB"/>
  </w:style>
  <w:style w:type="paragraph" w:customStyle="1" w:styleId="MediumList2-Accent21">
    <w:name w:val="Medium List 2 - Accent 21"/>
    <w:hidden/>
    <w:uiPriority w:val="99"/>
    <w:semiHidden/>
    <w:rsid w:val="00640C06"/>
    <w:rPr>
      <w:rFonts w:ascii="Times New Roman" w:hAnsi="Times New Roman" w:cs="Times New Roman"/>
      <w:sz w:val="26"/>
      <w:szCs w:val="26"/>
    </w:rPr>
  </w:style>
  <w:style w:type="character" w:customStyle="1" w:styleId="apple-converted-space">
    <w:name w:val="apple-converted-space"/>
    <w:rsid w:val="00D0323A"/>
  </w:style>
  <w:style w:type="paragraph" w:styleId="BodyTextIndent2">
    <w:name w:val="Body Text Indent 2"/>
    <w:basedOn w:val="Normal"/>
    <w:link w:val="BodyTextIndent2Char"/>
    <w:uiPriority w:val="99"/>
    <w:semiHidden/>
    <w:unhideWhenUsed/>
    <w:rsid w:val="00E1183C"/>
    <w:pPr>
      <w:spacing w:after="120" w:line="480" w:lineRule="auto"/>
      <w:ind w:left="360"/>
    </w:pPr>
  </w:style>
  <w:style w:type="character" w:customStyle="1" w:styleId="BodyTextIndent2Char">
    <w:name w:val="Body Text Indent 2 Char"/>
    <w:link w:val="BodyTextIndent2"/>
    <w:uiPriority w:val="99"/>
    <w:semiHidden/>
    <w:rsid w:val="00E1183C"/>
    <w:rPr>
      <w:rFonts w:ascii="Times New Roman" w:hAnsi="Times New Roman" w:cs="Times New Roman"/>
      <w:sz w:val="26"/>
      <w:szCs w:val="26"/>
    </w:rPr>
  </w:style>
  <w:style w:type="character" w:styleId="FollowedHyperlink">
    <w:name w:val="FollowedHyperlink"/>
    <w:uiPriority w:val="99"/>
    <w:semiHidden/>
    <w:unhideWhenUsed/>
    <w:rsid w:val="006C3346"/>
    <w:rPr>
      <w:color w:val="800080"/>
      <w:u w:val="single"/>
    </w:rPr>
  </w:style>
  <w:style w:type="paragraph" w:customStyle="1" w:styleId="ColorfulShading-Accent11">
    <w:name w:val="Colorful Shading - Accent 11"/>
    <w:hidden/>
    <w:uiPriority w:val="71"/>
    <w:rsid w:val="00614490"/>
    <w:rPr>
      <w:rFonts w:ascii="Times New Roman" w:hAnsi="Times New Roman" w:cs="Times New Roman"/>
      <w:sz w:val="26"/>
      <w:szCs w:val="26"/>
    </w:rPr>
  </w:style>
  <w:style w:type="paragraph" w:styleId="Revision">
    <w:name w:val="Revision"/>
    <w:hidden/>
    <w:uiPriority w:val="99"/>
    <w:semiHidden/>
    <w:rsid w:val="007206E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8856">
      <w:bodyDiv w:val="1"/>
      <w:marLeft w:val="0"/>
      <w:marRight w:val="0"/>
      <w:marTop w:val="0"/>
      <w:marBottom w:val="0"/>
      <w:divBdr>
        <w:top w:val="none" w:sz="0" w:space="0" w:color="auto"/>
        <w:left w:val="none" w:sz="0" w:space="0" w:color="auto"/>
        <w:bottom w:val="none" w:sz="0" w:space="0" w:color="auto"/>
        <w:right w:val="none" w:sz="0" w:space="0" w:color="auto"/>
      </w:divBdr>
    </w:div>
    <w:div w:id="268583859">
      <w:bodyDiv w:val="1"/>
      <w:marLeft w:val="0"/>
      <w:marRight w:val="0"/>
      <w:marTop w:val="0"/>
      <w:marBottom w:val="0"/>
      <w:divBdr>
        <w:top w:val="none" w:sz="0" w:space="0" w:color="auto"/>
        <w:left w:val="none" w:sz="0" w:space="0" w:color="auto"/>
        <w:bottom w:val="none" w:sz="0" w:space="0" w:color="auto"/>
        <w:right w:val="none" w:sz="0" w:space="0" w:color="auto"/>
      </w:divBdr>
    </w:div>
    <w:div w:id="324011972">
      <w:bodyDiv w:val="1"/>
      <w:marLeft w:val="0"/>
      <w:marRight w:val="0"/>
      <w:marTop w:val="0"/>
      <w:marBottom w:val="0"/>
      <w:divBdr>
        <w:top w:val="none" w:sz="0" w:space="0" w:color="auto"/>
        <w:left w:val="none" w:sz="0" w:space="0" w:color="auto"/>
        <w:bottom w:val="none" w:sz="0" w:space="0" w:color="auto"/>
        <w:right w:val="none" w:sz="0" w:space="0" w:color="auto"/>
      </w:divBdr>
    </w:div>
    <w:div w:id="348726020">
      <w:bodyDiv w:val="1"/>
      <w:marLeft w:val="0"/>
      <w:marRight w:val="0"/>
      <w:marTop w:val="0"/>
      <w:marBottom w:val="0"/>
      <w:divBdr>
        <w:top w:val="none" w:sz="0" w:space="0" w:color="auto"/>
        <w:left w:val="none" w:sz="0" w:space="0" w:color="auto"/>
        <w:bottom w:val="none" w:sz="0" w:space="0" w:color="auto"/>
        <w:right w:val="none" w:sz="0" w:space="0" w:color="auto"/>
      </w:divBdr>
    </w:div>
    <w:div w:id="357320827">
      <w:bodyDiv w:val="1"/>
      <w:marLeft w:val="0"/>
      <w:marRight w:val="0"/>
      <w:marTop w:val="0"/>
      <w:marBottom w:val="0"/>
      <w:divBdr>
        <w:top w:val="none" w:sz="0" w:space="0" w:color="auto"/>
        <w:left w:val="none" w:sz="0" w:space="0" w:color="auto"/>
        <w:bottom w:val="none" w:sz="0" w:space="0" w:color="auto"/>
        <w:right w:val="none" w:sz="0" w:space="0" w:color="auto"/>
      </w:divBdr>
    </w:div>
    <w:div w:id="433793523">
      <w:bodyDiv w:val="1"/>
      <w:marLeft w:val="0"/>
      <w:marRight w:val="0"/>
      <w:marTop w:val="0"/>
      <w:marBottom w:val="0"/>
      <w:divBdr>
        <w:top w:val="none" w:sz="0" w:space="0" w:color="auto"/>
        <w:left w:val="none" w:sz="0" w:space="0" w:color="auto"/>
        <w:bottom w:val="none" w:sz="0" w:space="0" w:color="auto"/>
        <w:right w:val="none" w:sz="0" w:space="0" w:color="auto"/>
      </w:divBdr>
    </w:div>
    <w:div w:id="440076192">
      <w:bodyDiv w:val="1"/>
      <w:marLeft w:val="0"/>
      <w:marRight w:val="0"/>
      <w:marTop w:val="0"/>
      <w:marBottom w:val="0"/>
      <w:divBdr>
        <w:top w:val="none" w:sz="0" w:space="0" w:color="auto"/>
        <w:left w:val="none" w:sz="0" w:space="0" w:color="auto"/>
        <w:bottom w:val="none" w:sz="0" w:space="0" w:color="auto"/>
        <w:right w:val="none" w:sz="0" w:space="0" w:color="auto"/>
      </w:divBdr>
      <w:divsChild>
        <w:div w:id="2055108927">
          <w:marLeft w:val="547"/>
          <w:marRight w:val="0"/>
          <w:marTop w:val="0"/>
          <w:marBottom w:val="0"/>
          <w:divBdr>
            <w:top w:val="none" w:sz="0" w:space="0" w:color="auto"/>
            <w:left w:val="none" w:sz="0" w:space="0" w:color="auto"/>
            <w:bottom w:val="none" w:sz="0" w:space="0" w:color="auto"/>
            <w:right w:val="none" w:sz="0" w:space="0" w:color="auto"/>
          </w:divBdr>
        </w:div>
      </w:divsChild>
    </w:div>
    <w:div w:id="510532978">
      <w:bodyDiv w:val="1"/>
      <w:marLeft w:val="0"/>
      <w:marRight w:val="0"/>
      <w:marTop w:val="0"/>
      <w:marBottom w:val="0"/>
      <w:divBdr>
        <w:top w:val="none" w:sz="0" w:space="0" w:color="auto"/>
        <w:left w:val="none" w:sz="0" w:space="0" w:color="auto"/>
        <w:bottom w:val="none" w:sz="0" w:space="0" w:color="auto"/>
        <w:right w:val="none" w:sz="0" w:space="0" w:color="auto"/>
      </w:divBdr>
    </w:div>
    <w:div w:id="754664862">
      <w:bodyDiv w:val="1"/>
      <w:marLeft w:val="0"/>
      <w:marRight w:val="0"/>
      <w:marTop w:val="0"/>
      <w:marBottom w:val="0"/>
      <w:divBdr>
        <w:top w:val="none" w:sz="0" w:space="0" w:color="auto"/>
        <w:left w:val="none" w:sz="0" w:space="0" w:color="auto"/>
        <w:bottom w:val="none" w:sz="0" w:space="0" w:color="auto"/>
        <w:right w:val="none" w:sz="0" w:space="0" w:color="auto"/>
      </w:divBdr>
    </w:div>
    <w:div w:id="772944171">
      <w:bodyDiv w:val="1"/>
      <w:marLeft w:val="0"/>
      <w:marRight w:val="0"/>
      <w:marTop w:val="0"/>
      <w:marBottom w:val="0"/>
      <w:divBdr>
        <w:top w:val="none" w:sz="0" w:space="0" w:color="auto"/>
        <w:left w:val="none" w:sz="0" w:space="0" w:color="auto"/>
        <w:bottom w:val="none" w:sz="0" w:space="0" w:color="auto"/>
        <w:right w:val="none" w:sz="0" w:space="0" w:color="auto"/>
      </w:divBdr>
    </w:div>
    <w:div w:id="813983984">
      <w:bodyDiv w:val="1"/>
      <w:marLeft w:val="0"/>
      <w:marRight w:val="0"/>
      <w:marTop w:val="0"/>
      <w:marBottom w:val="0"/>
      <w:divBdr>
        <w:top w:val="none" w:sz="0" w:space="0" w:color="auto"/>
        <w:left w:val="none" w:sz="0" w:space="0" w:color="auto"/>
        <w:bottom w:val="none" w:sz="0" w:space="0" w:color="auto"/>
        <w:right w:val="none" w:sz="0" w:space="0" w:color="auto"/>
      </w:divBdr>
    </w:div>
    <w:div w:id="830219320">
      <w:bodyDiv w:val="1"/>
      <w:marLeft w:val="0"/>
      <w:marRight w:val="0"/>
      <w:marTop w:val="0"/>
      <w:marBottom w:val="0"/>
      <w:divBdr>
        <w:top w:val="none" w:sz="0" w:space="0" w:color="auto"/>
        <w:left w:val="none" w:sz="0" w:space="0" w:color="auto"/>
        <w:bottom w:val="none" w:sz="0" w:space="0" w:color="auto"/>
        <w:right w:val="none" w:sz="0" w:space="0" w:color="auto"/>
      </w:divBdr>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1117410376">
      <w:bodyDiv w:val="1"/>
      <w:marLeft w:val="0"/>
      <w:marRight w:val="0"/>
      <w:marTop w:val="0"/>
      <w:marBottom w:val="0"/>
      <w:divBdr>
        <w:top w:val="none" w:sz="0" w:space="0" w:color="auto"/>
        <w:left w:val="none" w:sz="0" w:space="0" w:color="auto"/>
        <w:bottom w:val="none" w:sz="0" w:space="0" w:color="auto"/>
        <w:right w:val="none" w:sz="0" w:space="0" w:color="auto"/>
      </w:divBdr>
      <w:divsChild>
        <w:div w:id="86460129">
          <w:marLeft w:val="0"/>
          <w:marRight w:val="0"/>
          <w:marTop w:val="0"/>
          <w:marBottom w:val="0"/>
          <w:divBdr>
            <w:top w:val="none" w:sz="0" w:space="0" w:color="auto"/>
            <w:left w:val="none" w:sz="0" w:space="0" w:color="auto"/>
            <w:bottom w:val="none" w:sz="0" w:space="0" w:color="auto"/>
            <w:right w:val="none" w:sz="0" w:space="0" w:color="auto"/>
          </w:divBdr>
          <w:divsChild>
            <w:div w:id="4914093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90921977">
      <w:bodyDiv w:val="1"/>
      <w:marLeft w:val="0"/>
      <w:marRight w:val="0"/>
      <w:marTop w:val="0"/>
      <w:marBottom w:val="0"/>
      <w:divBdr>
        <w:top w:val="none" w:sz="0" w:space="0" w:color="auto"/>
        <w:left w:val="none" w:sz="0" w:space="0" w:color="auto"/>
        <w:bottom w:val="none" w:sz="0" w:space="0" w:color="auto"/>
        <w:right w:val="none" w:sz="0" w:space="0" w:color="auto"/>
      </w:divBdr>
    </w:div>
    <w:div w:id="1244217366">
      <w:bodyDiv w:val="1"/>
      <w:marLeft w:val="0"/>
      <w:marRight w:val="0"/>
      <w:marTop w:val="0"/>
      <w:marBottom w:val="0"/>
      <w:divBdr>
        <w:top w:val="none" w:sz="0" w:space="0" w:color="auto"/>
        <w:left w:val="none" w:sz="0" w:space="0" w:color="auto"/>
        <w:bottom w:val="none" w:sz="0" w:space="0" w:color="auto"/>
        <w:right w:val="none" w:sz="0" w:space="0" w:color="auto"/>
      </w:divBdr>
    </w:div>
    <w:div w:id="1303778316">
      <w:bodyDiv w:val="1"/>
      <w:marLeft w:val="0"/>
      <w:marRight w:val="0"/>
      <w:marTop w:val="0"/>
      <w:marBottom w:val="0"/>
      <w:divBdr>
        <w:top w:val="none" w:sz="0" w:space="0" w:color="auto"/>
        <w:left w:val="none" w:sz="0" w:space="0" w:color="auto"/>
        <w:bottom w:val="none" w:sz="0" w:space="0" w:color="auto"/>
        <w:right w:val="none" w:sz="0" w:space="0" w:color="auto"/>
      </w:divBdr>
    </w:div>
    <w:div w:id="1485703468">
      <w:bodyDiv w:val="1"/>
      <w:marLeft w:val="0"/>
      <w:marRight w:val="0"/>
      <w:marTop w:val="0"/>
      <w:marBottom w:val="0"/>
      <w:divBdr>
        <w:top w:val="none" w:sz="0" w:space="0" w:color="auto"/>
        <w:left w:val="none" w:sz="0" w:space="0" w:color="auto"/>
        <w:bottom w:val="none" w:sz="0" w:space="0" w:color="auto"/>
        <w:right w:val="none" w:sz="0" w:space="0" w:color="auto"/>
      </w:divBdr>
    </w:div>
    <w:div w:id="1657487185">
      <w:bodyDiv w:val="1"/>
      <w:marLeft w:val="0"/>
      <w:marRight w:val="0"/>
      <w:marTop w:val="0"/>
      <w:marBottom w:val="0"/>
      <w:divBdr>
        <w:top w:val="none" w:sz="0" w:space="0" w:color="auto"/>
        <w:left w:val="none" w:sz="0" w:space="0" w:color="auto"/>
        <w:bottom w:val="none" w:sz="0" w:space="0" w:color="auto"/>
        <w:right w:val="none" w:sz="0" w:space="0" w:color="auto"/>
      </w:divBdr>
    </w:div>
    <w:div w:id="1674412004">
      <w:bodyDiv w:val="1"/>
      <w:marLeft w:val="0"/>
      <w:marRight w:val="0"/>
      <w:marTop w:val="0"/>
      <w:marBottom w:val="0"/>
      <w:divBdr>
        <w:top w:val="none" w:sz="0" w:space="0" w:color="auto"/>
        <w:left w:val="none" w:sz="0" w:space="0" w:color="auto"/>
        <w:bottom w:val="none" w:sz="0" w:space="0" w:color="auto"/>
        <w:right w:val="none" w:sz="0" w:space="0" w:color="auto"/>
      </w:divBdr>
      <w:divsChild>
        <w:div w:id="726341136">
          <w:marLeft w:val="3075"/>
          <w:marRight w:val="0"/>
          <w:marTop w:val="0"/>
          <w:marBottom w:val="0"/>
          <w:divBdr>
            <w:top w:val="single" w:sz="6" w:space="4" w:color="CCCCCC"/>
            <w:left w:val="single" w:sz="6" w:space="15" w:color="CCCCCC"/>
            <w:bottom w:val="single" w:sz="6" w:space="4" w:color="CCCCCC"/>
            <w:right w:val="single" w:sz="6" w:space="15" w:color="CCCCCC"/>
          </w:divBdr>
        </w:div>
      </w:divsChild>
    </w:div>
    <w:div w:id="1763916035">
      <w:bodyDiv w:val="1"/>
      <w:marLeft w:val="0"/>
      <w:marRight w:val="0"/>
      <w:marTop w:val="0"/>
      <w:marBottom w:val="0"/>
      <w:divBdr>
        <w:top w:val="none" w:sz="0" w:space="0" w:color="auto"/>
        <w:left w:val="none" w:sz="0" w:space="0" w:color="auto"/>
        <w:bottom w:val="none" w:sz="0" w:space="0" w:color="auto"/>
        <w:right w:val="none" w:sz="0" w:space="0" w:color="auto"/>
      </w:divBdr>
    </w:div>
    <w:div w:id="1771773595">
      <w:bodyDiv w:val="1"/>
      <w:marLeft w:val="0"/>
      <w:marRight w:val="0"/>
      <w:marTop w:val="0"/>
      <w:marBottom w:val="0"/>
      <w:divBdr>
        <w:top w:val="none" w:sz="0" w:space="0" w:color="auto"/>
        <w:left w:val="none" w:sz="0" w:space="0" w:color="auto"/>
        <w:bottom w:val="none" w:sz="0" w:space="0" w:color="auto"/>
        <w:right w:val="none" w:sz="0" w:space="0" w:color="auto"/>
      </w:divBdr>
    </w:div>
    <w:div w:id="1814634241">
      <w:bodyDiv w:val="1"/>
      <w:marLeft w:val="0"/>
      <w:marRight w:val="0"/>
      <w:marTop w:val="0"/>
      <w:marBottom w:val="0"/>
      <w:divBdr>
        <w:top w:val="none" w:sz="0" w:space="0" w:color="auto"/>
        <w:left w:val="none" w:sz="0" w:space="0" w:color="auto"/>
        <w:bottom w:val="none" w:sz="0" w:space="0" w:color="auto"/>
        <w:right w:val="none" w:sz="0" w:space="0" w:color="auto"/>
      </w:divBdr>
    </w:div>
    <w:div w:id="1882590956">
      <w:bodyDiv w:val="1"/>
      <w:marLeft w:val="0"/>
      <w:marRight w:val="0"/>
      <w:marTop w:val="0"/>
      <w:marBottom w:val="0"/>
      <w:divBdr>
        <w:top w:val="none" w:sz="0" w:space="0" w:color="auto"/>
        <w:left w:val="none" w:sz="0" w:space="0" w:color="auto"/>
        <w:bottom w:val="none" w:sz="0" w:space="0" w:color="auto"/>
        <w:right w:val="none" w:sz="0" w:space="0" w:color="auto"/>
      </w:divBdr>
    </w:div>
    <w:div w:id="1918199013">
      <w:bodyDiv w:val="1"/>
      <w:marLeft w:val="0"/>
      <w:marRight w:val="0"/>
      <w:marTop w:val="0"/>
      <w:marBottom w:val="0"/>
      <w:divBdr>
        <w:top w:val="none" w:sz="0" w:space="0" w:color="auto"/>
        <w:left w:val="none" w:sz="0" w:space="0" w:color="auto"/>
        <w:bottom w:val="none" w:sz="0" w:space="0" w:color="auto"/>
        <w:right w:val="none" w:sz="0" w:space="0" w:color="auto"/>
      </w:divBdr>
    </w:div>
    <w:div w:id="1979459746">
      <w:marLeft w:val="0"/>
      <w:marRight w:val="0"/>
      <w:marTop w:val="0"/>
      <w:marBottom w:val="0"/>
      <w:divBdr>
        <w:top w:val="none" w:sz="0" w:space="0" w:color="auto"/>
        <w:left w:val="none" w:sz="0" w:space="0" w:color="auto"/>
        <w:bottom w:val="none" w:sz="0" w:space="0" w:color="auto"/>
        <w:right w:val="none" w:sz="0" w:space="0" w:color="auto"/>
      </w:divBdr>
    </w:div>
    <w:div w:id="1979459755">
      <w:marLeft w:val="0"/>
      <w:marRight w:val="0"/>
      <w:marTop w:val="0"/>
      <w:marBottom w:val="0"/>
      <w:divBdr>
        <w:top w:val="none" w:sz="0" w:space="0" w:color="auto"/>
        <w:left w:val="none" w:sz="0" w:space="0" w:color="auto"/>
        <w:bottom w:val="none" w:sz="0" w:space="0" w:color="auto"/>
        <w:right w:val="none" w:sz="0" w:space="0" w:color="auto"/>
      </w:divBdr>
      <w:divsChild>
        <w:div w:id="1979459747">
          <w:marLeft w:val="547"/>
          <w:marRight w:val="0"/>
          <w:marTop w:val="130"/>
          <w:marBottom w:val="0"/>
          <w:divBdr>
            <w:top w:val="none" w:sz="0" w:space="0" w:color="auto"/>
            <w:left w:val="none" w:sz="0" w:space="0" w:color="auto"/>
            <w:bottom w:val="none" w:sz="0" w:space="0" w:color="auto"/>
            <w:right w:val="none" w:sz="0" w:space="0" w:color="auto"/>
          </w:divBdr>
        </w:div>
        <w:div w:id="1979459765">
          <w:marLeft w:val="547"/>
          <w:marRight w:val="0"/>
          <w:marTop w:val="130"/>
          <w:marBottom w:val="0"/>
          <w:divBdr>
            <w:top w:val="none" w:sz="0" w:space="0" w:color="auto"/>
            <w:left w:val="none" w:sz="0" w:space="0" w:color="auto"/>
            <w:bottom w:val="none" w:sz="0" w:space="0" w:color="auto"/>
            <w:right w:val="none" w:sz="0" w:space="0" w:color="auto"/>
          </w:divBdr>
        </w:div>
        <w:div w:id="1979459769">
          <w:marLeft w:val="547"/>
          <w:marRight w:val="0"/>
          <w:marTop w:val="130"/>
          <w:marBottom w:val="0"/>
          <w:divBdr>
            <w:top w:val="none" w:sz="0" w:space="0" w:color="auto"/>
            <w:left w:val="none" w:sz="0" w:space="0" w:color="auto"/>
            <w:bottom w:val="none" w:sz="0" w:space="0" w:color="auto"/>
            <w:right w:val="none" w:sz="0" w:space="0" w:color="auto"/>
          </w:divBdr>
        </w:div>
        <w:div w:id="1979459770">
          <w:marLeft w:val="547"/>
          <w:marRight w:val="0"/>
          <w:marTop w:val="130"/>
          <w:marBottom w:val="0"/>
          <w:divBdr>
            <w:top w:val="none" w:sz="0" w:space="0" w:color="auto"/>
            <w:left w:val="none" w:sz="0" w:space="0" w:color="auto"/>
            <w:bottom w:val="none" w:sz="0" w:space="0" w:color="auto"/>
            <w:right w:val="none" w:sz="0" w:space="0" w:color="auto"/>
          </w:divBdr>
        </w:div>
        <w:div w:id="1979459772">
          <w:marLeft w:val="547"/>
          <w:marRight w:val="0"/>
          <w:marTop w:val="130"/>
          <w:marBottom w:val="0"/>
          <w:divBdr>
            <w:top w:val="none" w:sz="0" w:space="0" w:color="auto"/>
            <w:left w:val="none" w:sz="0" w:space="0" w:color="auto"/>
            <w:bottom w:val="none" w:sz="0" w:space="0" w:color="auto"/>
            <w:right w:val="none" w:sz="0" w:space="0" w:color="auto"/>
          </w:divBdr>
        </w:div>
      </w:divsChild>
    </w:div>
    <w:div w:id="1979459759">
      <w:marLeft w:val="0"/>
      <w:marRight w:val="0"/>
      <w:marTop w:val="0"/>
      <w:marBottom w:val="0"/>
      <w:divBdr>
        <w:top w:val="none" w:sz="0" w:space="0" w:color="auto"/>
        <w:left w:val="none" w:sz="0" w:space="0" w:color="auto"/>
        <w:bottom w:val="none" w:sz="0" w:space="0" w:color="auto"/>
        <w:right w:val="none" w:sz="0" w:space="0" w:color="auto"/>
      </w:divBdr>
      <w:divsChild>
        <w:div w:id="1979459753">
          <w:marLeft w:val="547"/>
          <w:marRight w:val="0"/>
          <w:marTop w:val="134"/>
          <w:marBottom w:val="0"/>
          <w:divBdr>
            <w:top w:val="none" w:sz="0" w:space="0" w:color="auto"/>
            <w:left w:val="none" w:sz="0" w:space="0" w:color="auto"/>
            <w:bottom w:val="none" w:sz="0" w:space="0" w:color="auto"/>
            <w:right w:val="none" w:sz="0" w:space="0" w:color="auto"/>
          </w:divBdr>
        </w:div>
        <w:div w:id="1979459754">
          <w:marLeft w:val="547"/>
          <w:marRight w:val="0"/>
          <w:marTop w:val="134"/>
          <w:marBottom w:val="0"/>
          <w:divBdr>
            <w:top w:val="none" w:sz="0" w:space="0" w:color="auto"/>
            <w:left w:val="none" w:sz="0" w:space="0" w:color="auto"/>
            <w:bottom w:val="none" w:sz="0" w:space="0" w:color="auto"/>
            <w:right w:val="none" w:sz="0" w:space="0" w:color="auto"/>
          </w:divBdr>
        </w:div>
        <w:div w:id="1979459756">
          <w:marLeft w:val="547"/>
          <w:marRight w:val="0"/>
          <w:marTop w:val="134"/>
          <w:marBottom w:val="0"/>
          <w:divBdr>
            <w:top w:val="none" w:sz="0" w:space="0" w:color="auto"/>
            <w:left w:val="none" w:sz="0" w:space="0" w:color="auto"/>
            <w:bottom w:val="none" w:sz="0" w:space="0" w:color="auto"/>
            <w:right w:val="none" w:sz="0" w:space="0" w:color="auto"/>
          </w:divBdr>
        </w:div>
        <w:div w:id="1979459762">
          <w:marLeft w:val="547"/>
          <w:marRight w:val="0"/>
          <w:marTop w:val="134"/>
          <w:marBottom w:val="0"/>
          <w:divBdr>
            <w:top w:val="none" w:sz="0" w:space="0" w:color="auto"/>
            <w:left w:val="none" w:sz="0" w:space="0" w:color="auto"/>
            <w:bottom w:val="none" w:sz="0" w:space="0" w:color="auto"/>
            <w:right w:val="none" w:sz="0" w:space="0" w:color="auto"/>
          </w:divBdr>
        </w:div>
      </w:divsChild>
    </w:div>
    <w:div w:id="1979459764">
      <w:marLeft w:val="0"/>
      <w:marRight w:val="0"/>
      <w:marTop w:val="0"/>
      <w:marBottom w:val="0"/>
      <w:divBdr>
        <w:top w:val="none" w:sz="0" w:space="0" w:color="auto"/>
        <w:left w:val="none" w:sz="0" w:space="0" w:color="auto"/>
        <w:bottom w:val="none" w:sz="0" w:space="0" w:color="auto"/>
        <w:right w:val="none" w:sz="0" w:space="0" w:color="auto"/>
      </w:divBdr>
      <w:divsChild>
        <w:div w:id="1979459748">
          <w:marLeft w:val="547"/>
          <w:marRight w:val="0"/>
          <w:marTop w:val="134"/>
          <w:marBottom w:val="0"/>
          <w:divBdr>
            <w:top w:val="none" w:sz="0" w:space="0" w:color="auto"/>
            <w:left w:val="none" w:sz="0" w:space="0" w:color="auto"/>
            <w:bottom w:val="none" w:sz="0" w:space="0" w:color="auto"/>
            <w:right w:val="none" w:sz="0" w:space="0" w:color="auto"/>
          </w:divBdr>
        </w:div>
        <w:div w:id="1979459749">
          <w:marLeft w:val="547"/>
          <w:marRight w:val="0"/>
          <w:marTop w:val="134"/>
          <w:marBottom w:val="0"/>
          <w:divBdr>
            <w:top w:val="none" w:sz="0" w:space="0" w:color="auto"/>
            <w:left w:val="none" w:sz="0" w:space="0" w:color="auto"/>
            <w:bottom w:val="none" w:sz="0" w:space="0" w:color="auto"/>
            <w:right w:val="none" w:sz="0" w:space="0" w:color="auto"/>
          </w:divBdr>
        </w:div>
        <w:div w:id="1979459750">
          <w:marLeft w:val="547"/>
          <w:marRight w:val="0"/>
          <w:marTop w:val="134"/>
          <w:marBottom w:val="0"/>
          <w:divBdr>
            <w:top w:val="none" w:sz="0" w:space="0" w:color="auto"/>
            <w:left w:val="none" w:sz="0" w:space="0" w:color="auto"/>
            <w:bottom w:val="none" w:sz="0" w:space="0" w:color="auto"/>
            <w:right w:val="none" w:sz="0" w:space="0" w:color="auto"/>
          </w:divBdr>
        </w:div>
        <w:div w:id="1979459752">
          <w:marLeft w:val="547"/>
          <w:marRight w:val="0"/>
          <w:marTop w:val="134"/>
          <w:marBottom w:val="0"/>
          <w:divBdr>
            <w:top w:val="none" w:sz="0" w:space="0" w:color="auto"/>
            <w:left w:val="none" w:sz="0" w:space="0" w:color="auto"/>
            <w:bottom w:val="none" w:sz="0" w:space="0" w:color="auto"/>
            <w:right w:val="none" w:sz="0" w:space="0" w:color="auto"/>
          </w:divBdr>
        </w:div>
        <w:div w:id="1979459758">
          <w:marLeft w:val="547"/>
          <w:marRight w:val="0"/>
          <w:marTop w:val="134"/>
          <w:marBottom w:val="0"/>
          <w:divBdr>
            <w:top w:val="none" w:sz="0" w:space="0" w:color="auto"/>
            <w:left w:val="none" w:sz="0" w:space="0" w:color="auto"/>
            <w:bottom w:val="none" w:sz="0" w:space="0" w:color="auto"/>
            <w:right w:val="none" w:sz="0" w:space="0" w:color="auto"/>
          </w:divBdr>
        </w:div>
        <w:div w:id="1979459761">
          <w:marLeft w:val="547"/>
          <w:marRight w:val="0"/>
          <w:marTop w:val="134"/>
          <w:marBottom w:val="0"/>
          <w:divBdr>
            <w:top w:val="none" w:sz="0" w:space="0" w:color="auto"/>
            <w:left w:val="none" w:sz="0" w:space="0" w:color="auto"/>
            <w:bottom w:val="none" w:sz="0" w:space="0" w:color="auto"/>
            <w:right w:val="none" w:sz="0" w:space="0" w:color="auto"/>
          </w:divBdr>
        </w:div>
        <w:div w:id="1979459763">
          <w:marLeft w:val="547"/>
          <w:marRight w:val="0"/>
          <w:marTop w:val="134"/>
          <w:marBottom w:val="0"/>
          <w:divBdr>
            <w:top w:val="none" w:sz="0" w:space="0" w:color="auto"/>
            <w:left w:val="none" w:sz="0" w:space="0" w:color="auto"/>
            <w:bottom w:val="none" w:sz="0" w:space="0" w:color="auto"/>
            <w:right w:val="none" w:sz="0" w:space="0" w:color="auto"/>
          </w:divBdr>
        </w:div>
        <w:div w:id="1979459767">
          <w:marLeft w:val="547"/>
          <w:marRight w:val="0"/>
          <w:marTop w:val="134"/>
          <w:marBottom w:val="0"/>
          <w:divBdr>
            <w:top w:val="none" w:sz="0" w:space="0" w:color="auto"/>
            <w:left w:val="none" w:sz="0" w:space="0" w:color="auto"/>
            <w:bottom w:val="none" w:sz="0" w:space="0" w:color="auto"/>
            <w:right w:val="none" w:sz="0" w:space="0" w:color="auto"/>
          </w:divBdr>
        </w:div>
        <w:div w:id="1979459768">
          <w:marLeft w:val="547"/>
          <w:marRight w:val="0"/>
          <w:marTop w:val="134"/>
          <w:marBottom w:val="0"/>
          <w:divBdr>
            <w:top w:val="none" w:sz="0" w:space="0" w:color="auto"/>
            <w:left w:val="none" w:sz="0" w:space="0" w:color="auto"/>
            <w:bottom w:val="none" w:sz="0" w:space="0" w:color="auto"/>
            <w:right w:val="none" w:sz="0" w:space="0" w:color="auto"/>
          </w:divBdr>
        </w:div>
        <w:div w:id="1979459771">
          <w:marLeft w:val="547"/>
          <w:marRight w:val="0"/>
          <w:marTop w:val="134"/>
          <w:marBottom w:val="0"/>
          <w:divBdr>
            <w:top w:val="none" w:sz="0" w:space="0" w:color="auto"/>
            <w:left w:val="none" w:sz="0" w:space="0" w:color="auto"/>
            <w:bottom w:val="none" w:sz="0" w:space="0" w:color="auto"/>
            <w:right w:val="none" w:sz="0" w:space="0" w:color="auto"/>
          </w:divBdr>
        </w:div>
        <w:div w:id="1979459778">
          <w:marLeft w:val="547"/>
          <w:marRight w:val="0"/>
          <w:marTop w:val="134"/>
          <w:marBottom w:val="0"/>
          <w:divBdr>
            <w:top w:val="none" w:sz="0" w:space="0" w:color="auto"/>
            <w:left w:val="none" w:sz="0" w:space="0" w:color="auto"/>
            <w:bottom w:val="none" w:sz="0" w:space="0" w:color="auto"/>
            <w:right w:val="none" w:sz="0" w:space="0" w:color="auto"/>
          </w:divBdr>
        </w:div>
      </w:divsChild>
    </w:div>
    <w:div w:id="1979459766">
      <w:marLeft w:val="0"/>
      <w:marRight w:val="0"/>
      <w:marTop w:val="0"/>
      <w:marBottom w:val="0"/>
      <w:divBdr>
        <w:top w:val="none" w:sz="0" w:space="0" w:color="auto"/>
        <w:left w:val="none" w:sz="0" w:space="0" w:color="auto"/>
        <w:bottom w:val="none" w:sz="0" w:space="0" w:color="auto"/>
        <w:right w:val="none" w:sz="0" w:space="0" w:color="auto"/>
      </w:divBdr>
      <w:divsChild>
        <w:div w:id="1979459757">
          <w:marLeft w:val="547"/>
          <w:marRight w:val="0"/>
          <w:marTop w:val="134"/>
          <w:marBottom w:val="0"/>
          <w:divBdr>
            <w:top w:val="none" w:sz="0" w:space="0" w:color="auto"/>
            <w:left w:val="none" w:sz="0" w:space="0" w:color="auto"/>
            <w:bottom w:val="none" w:sz="0" w:space="0" w:color="auto"/>
            <w:right w:val="none" w:sz="0" w:space="0" w:color="auto"/>
          </w:divBdr>
        </w:div>
        <w:div w:id="1979459773">
          <w:marLeft w:val="547"/>
          <w:marRight w:val="0"/>
          <w:marTop w:val="134"/>
          <w:marBottom w:val="0"/>
          <w:divBdr>
            <w:top w:val="none" w:sz="0" w:space="0" w:color="auto"/>
            <w:left w:val="none" w:sz="0" w:space="0" w:color="auto"/>
            <w:bottom w:val="none" w:sz="0" w:space="0" w:color="auto"/>
            <w:right w:val="none" w:sz="0" w:space="0" w:color="auto"/>
          </w:divBdr>
        </w:div>
        <w:div w:id="1979459775">
          <w:marLeft w:val="547"/>
          <w:marRight w:val="0"/>
          <w:marTop w:val="134"/>
          <w:marBottom w:val="0"/>
          <w:divBdr>
            <w:top w:val="none" w:sz="0" w:space="0" w:color="auto"/>
            <w:left w:val="none" w:sz="0" w:space="0" w:color="auto"/>
            <w:bottom w:val="none" w:sz="0" w:space="0" w:color="auto"/>
            <w:right w:val="none" w:sz="0" w:space="0" w:color="auto"/>
          </w:divBdr>
        </w:div>
        <w:div w:id="1979459776">
          <w:marLeft w:val="547"/>
          <w:marRight w:val="0"/>
          <w:marTop w:val="134"/>
          <w:marBottom w:val="0"/>
          <w:divBdr>
            <w:top w:val="none" w:sz="0" w:space="0" w:color="auto"/>
            <w:left w:val="none" w:sz="0" w:space="0" w:color="auto"/>
            <w:bottom w:val="none" w:sz="0" w:space="0" w:color="auto"/>
            <w:right w:val="none" w:sz="0" w:space="0" w:color="auto"/>
          </w:divBdr>
        </w:div>
        <w:div w:id="1979459777">
          <w:marLeft w:val="547"/>
          <w:marRight w:val="0"/>
          <w:marTop w:val="134"/>
          <w:marBottom w:val="0"/>
          <w:divBdr>
            <w:top w:val="none" w:sz="0" w:space="0" w:color="auto"/>
            <w:left w:val="none" w:sz="0" w:space="0" w:color="auto"/>
            <w:bottom w:val="none" w:sz="0" w:space="0" w:color="auto"/>
            <w:right w:val="none" w:sz="0" w:space="0" w:color="auto"/>
          </w:divBdr>
        </w:div>
      </w:divsChild>
    </w:div>
    <w:div w:id="1979459779">
      <w:marLeft w:val="0"/>
      <w:marRight w:val="0"/>
      <w:marTop w:val="0"/>
      <w:marBottom w:val="0"/>
      <w:divBdr>
        <w:top w:val="none" w:sz="0" w:space="0" w:color="auto"/>
        <w:left w:val="none" w:sz="0" w:space="0" w:color="auto"/>
        <w:bottom w:val="none" w:sz="0" w:space="0" w:color="auto"/>
        <w:right w:val="none" w:sz="0" w:space="0" w:color="auto"/>
      </w:divBdr>
      <w:divsChild>
        <w:div w:id="1979459751">
          <w:marLeft w:val="547"/>
          <w:marRight w:val="0"/>
          <w:marTop w:val="134"/>
          <w:marBottom w:val="0"/>
          <w:divBdr>
            <w:top w:val="none" w:sz="0" w:space="0" w:color="auto"/>
            <w:left w:val="none" w:sz="0" w:space="0" w:color="auto"/>
            <w:bottom w:val="none" w:sz="0" w:space="0" w:color="auto"/>
            <w:right w:val="none" w:sz="0" w:space="0" w:color="auto"/>
          </w:divBdr>
        </w:div>
        <w:div w:id="1979459760">
          <w:marLeft w:val="547"/>
          <w:marRight w:val="0"/>
          <w:marTop w:val="134"/>
          <w:marBottom w:val="0"/>
          <w:divBdr>
            <w:top w:val="none" w:sz="0" w:space="0" w:color="auto"/>
            <w:left w:val="none" w:sz="0" w:space="0" w:color="auto"/>
            <w:bottom w:val="none" w:sz="0" w:space="0" w:color="auto"/>
            <w:right w:val="none" w:sz="0" w:space="0" w:color="auto"/>
          </w:divBdr>
        </w:div>
        <w:div w:id="1979459774">
          <w:marLeft w:val="547"/>
          <w:marRight w:val="0"/>
          <w:marTop w:val="134"/>
          <w:marBottom w:val="0"/>
          <w:divBdr>
            <w:top w:val="none" w:sz="0" w:space="0" w:color="auto"/>
            <w:left w:val="none" w:sz="0" w:space="0" w:color="auto"/>
            <w:bottom w:val="none" w:sz="0" w:space="0" w:color="auto"/>
            <w:right w:val="none" w:sz="0" w:space="0" w:color="auto"/>
          </w:divBdr>
        </w:div>
      </w:divsChild>
    </w:div>
    <w:div w:id="2021196518">
      <w:bodyDiv w:val="1"/>
      <w:marLeft w:val="0"/>
      <w:marRight w:val="0"/>
      <w:marTop w:val="0"/>
      <w:marBottom w:val="0"/>
      <w:divBdr>
        <w:top w:val="none" w:sz="0" w:space="0" w:color="auto"/>
        <w:left w:val="none" w:sz="0" w:space="0" w:color="auto"/>
        <w:bottom w:val="none" w:sz="0" w:space="0" w:color="auto"/>
        <w:right w:val="none" w:sz="0" w:space="0" w:color="auto"/>
      </w:divBdr>
    </w:div>
    <w:div w:id="2032030506">
      <w:bodyDiv w:val="1"/>
      <w:marLeft w:val="0"/>
      <w:marRight w:val="0"/>
      <w:marTop w:val="0"/>
      <w:marBottom w:val="0"/>
      <w:divBdr>
        <w:top w:val="none" w:sz="0" w:space="0" w:color="auto"/>
        <w:left w:val="none" w:sz="0" w:space="0" w:color="auto"/>
        <w:bottom w:val="none" w:sz="0" w:space="0" w:color="auto"/>
        <w:right w:val="none" w:sz="0" w:space="0" w:color="auto"/>
      </w:divBdr>
    </w:div>
    <w:div w:id="21228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hyperlink" Target="http://www.tandfonline.com/doi/abs/10.1080/00220388.2011.598512" TargetMode="External"/><Relationship Id="rId24" Type="http://schemas.openxmlformats.org/officeDocument/2006/relationships/hyperlink" Target="http://www.tandfonline.com/toc/fjds20/47/12" TargetMode="External"/><Relationship Id="rId25" Type="http://schemas.openxmlformats.org/officeDocument/2006/relationships/hyperlink" Target="http://www.sciencedirect.com/science/article/pii/S0304387810000969" TargetMode="External"/><Relationship Id="rId26" Type="http://schemas.openxmlformats.org/officeDocument/2006/relationships/hyperlink" Target="http://www.sciencedirect.com/science/journal/03043878" TargetMode="External"/><Relationship Id="rId27" Type="http://schemas.openxmlformats.org/officeDocument/2006/relationships/hyperlink" Target="http://jae.oxfordjournals.org/content/21/2.toc" TargetMode="External"/><Relationship Id="rId28" Type="http://schemas.openxmlformats.org/officeDocument/2006/relationships/hyperlink" Target="https://openknowledge.worldbank.org/handle/10986/2336" TargetMode="External"/><Relationship Id="rId29" Type="http://schemas.openxmlformats.org/officeDocument/2006/relationships/hyperlink" Target="http://ideas.repec.org/p/npf/wpaper/04-10.html" TargetMode="External"/><Relationship Id="rId30" Type="http://schemas.openxmlformats.org/officeDocument/2006/relationships/hyperlink" Target="http://ideas.repec.org/s/npf/wpaper.ht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hyperlink" Target="http://www.sciencedirect.com/science/article/pii/S0304387810000969"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ma.gov.jo/MunicipalDB/Criteria.aspx" TargetMode="External"/><Relationship Id="rId4" Type="http://schemas.openxmlformats.org/officeDocument/2006/relationships/hyperlink" Target="http://www.imf.org/external/pubs/ft/weo/2012/01/index.htm" TargetMode="External"/><Relationship Id="rId5" Type="http://schemas.openxmlformats.org/officeDocument/2006/relationships/hyperlink" Target="http://statisticaldb.cbj.gov.jo/index?action=level4&amp;page_no=0" TargetMode="External"/><Relationship Id="rId1" Type="http://schemas.openxmlformats.org/officeDocument/2006/relationships/hyperlink" Target="http://www.kingabdullah.jo/press_room/speechpage.php/" TargetMode="External"/><Relationship Id="rId2" Type="http://schemas.openxmlformats.org/officeDocument/2006/relationships/hyperlink" Target="http://www.imf.org/external/pubs/ft/gfs/yearbook/2008/gfsy08.pdf"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almec\Desktop\TFR-ammendment_051212.xls"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almec\Desktop\TFR-ammendment_051212.xls"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C:\Users\almec\Desktop\TFR-ammendment_051212.xls"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C:\Users\almec\Desktop\TFR-ammendment_0512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Intergovernmental Capital Transfers</a:t>
            </a:r>
          </a:p>
        </c:rich>
      </c:tx>
      <c:layout/>
      <c:overlay val="0"/>
    </c:title>
    <c:autoTitleDeleted val="0"/>
    <c:plotArea>
      <c:layout/>
      <c:lineChart>
        <c:grouping val="standard"/>
        <c:varyColors val="0"/>
        <c:ser>
          <c:idx val="1"/>
          <c:order val="0"/>
          <c:tx>
            <c:strRef>
              <c:f>'[TFR-ammendment_051212.xls]Capital Transfers'!$B$3</c:f>
              <c:strCache>
                <c:ptCount val="1"/>
                <c:pt idx="0">
                  <c:v>Irbid</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Transfers'!$D$3,'[TFR-ammendment_051212.xls]Capital Transfers'!$F$3,'[TFR-ammendment_051212.xls]Capital Transfers'!$H$3</c:f>
              <c:numCache>
                <c:formatCode>0%</c:formatCode>
                <c:ptCount val="3"/>
                <c:pt idx="0">
                  <c:v>0.0994028185312229</c:v>
                </c:pt>
                <c:pt idx="1">
                  <c:v>0.0511907639536356</c:v>
                </c:pt>
                <c:pt idx="2">
                  <c:v>0.0414978078135813</c:v>
                </c:pt>
              </c:numCache>
            </c:numRef>
          </c:val>
          <c:smooth val="0"/>
        </c:ser>
        <c:ser>
          <c:idx val="2"/>
          <c:order val="1"/>
          <c:tx>
            <c:strRef>
              <c:f>'[TFR-ammendment_051212.xls]Capital Transfers'!$B$4</c:f>
              <c:strCache>
                <c:ptCount val="1"/>
                <c:pt idx="0">
                  <c:v>Mafraq</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Transfers'!$D$4,'[TFR-ammendment_051212.xls]Capital Transfers'!$F$4,'[TFR-ammendment_051212.xls]Capital Transfers'!$H$4</c:f>
              <c:numCache>
                <c:formatCode>0%</c:formatCode>
                <c:ptCount val="3"/>
                <c:pt idx="0">
                  <c:v>0.144389455993167</c:v>
                </c:pt>
                <c:pt idx="1">
                  <c:v>0.08052418937118</c:v>
                </c:pt>
                <c:pt idx="2">
                  <c:v>0.0344302015756535</c:v>
                </c:pt>
              </c:numCache>
            </c:numRef>
          </c:val>
          <c:smooth val="0"/>
        </c:ser>
        <c:ser>
          <c:idx val="3"/>
          <c:order val="2"/>
          <c:tx>
            <c:strRef>
              <c:f>'[TFR-ammendment_051212.xls]Capital Transfers'!$B$5</c:f>
              <c:strCache>
                <c:ptCount val="1"/>
                <c:pt idx="0">
                  <c:v>Ajloun</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Transfers'!$D$5,'[TFR-ammendment_051212.xls]Capital Transfers'!$F$5,'[TFR-ammendment_051212.xls]Capital Transfers'!$H$5</c:f>
              <c:numCache>
                <c:formatCode>0%</c:formatCode>
                <c:ptCount val="3"/>
                <c:pt idx="0">
                  <c:v>0.0225751126172666</c:v>
                </c:pt>
                <c:pt idx="1">
                  <c:v>0.021372745375646</c:v>
                </c:pt>
                <c:pt idx="2">
                  <c:v>0.016946152794387</c:v>
                </c:pt>
              </c:numCache>
            </c:numRef>
          </c:val>
          <c:smooth val="0"/>
        </c:ser>
        <c:ser>
          <c:idx val="4"/>
          <c:order val="3"/>
          <c:tx>
            <c:strRef>
              <c:f>'[TFR-ammendment_051212.xls]Capital Transfers'!$B$6</c:f>
              <c:strCache>
                <c:ptCount val="1"/>
                <c:pt idx="0">
                  <c:v>Jarash</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Transfers'!$D$6,'[TFR-ammendment_051212.xls]Capital Transfers'!$F$6,'[TFR-ammendment_051212.xls]Capital Transfers'!$H$6</c:f>
              <c:numCache>
                <c:formatCode>0%</c:formatCode>
                <c:ptCount val="3"/>
                <c:pt idx="0">
                  <c:v>0.0287019051948589</c:v>
                </c:pt>
                <c:pt idx="1">
                  <c:v>0.0385326380975402</c:v>
                </c:pt>
                <c:pt idx="2">
                  <c:v>0.0246238371903367</c:v>
                </c:pt>
              </c:numCache>
            </c:numRef>
          </c:val>
          <c:smooth val="0"/>
        </c:ser>
        <c:ser>
          <c:idx val="6"/>
          <c:order val="4"/>
          <c:tx>
            <c:strRef>
              <c:f>'[TFR-ammendment_051212.xls]Capital Transfers'!$B$8</c:f>
              <c:strCache>
                <c:ptCount val="1"/>
                <c:pt idx="0">
                  <c:v>Balqa</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Transfers'!$D$8,'[TFR-ammendment_051212.xls]Capital Transfers'!$F$8,'[TFR-ammendment_051212.xls]Capital Transfers'!$H$8</c:f>
              <c:numCache>
                <c:formatCode>0%</c:formatCode>
                <c:ptCount val="3"/>
                <c:pt idx="0">
                  <c:v>0.0633325756636498</c:v>
                </c:pt>
                <c:pt idx="1">
                  <c:v>0.0464196507706297</c:v>
                </c:pt>
                <c:pt idx="2">
                  <c:v>0.0426957542308122</c:v>
                </c:pt>
              </c:numCache>
            </c:numRef>
          </c:val>
          <c:smooth val="0"/>
        </c:ser>
        <c:ser>
          <c:idx val="8"/>
          <c:order val="5"/>
          <c:tx>
            <c:strRef>
              <c:f>'[TFR-ammendment_051212.xls]Capital Transfers'!$B$10</c:f>
              <c:strCache>
                <c:ptCount val="1"/>
                <c:pt idx="0">
                  <c:v>Madaba</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Transfers'!$D$10,'[TFR-ammendment_051212.xls]Capital Transfers'!$F$10,'[TFR-ammendment_051212.xls]Capital Transfers'!$H$10</c:f>
              <c:numCache>
                <c:formatCode>0%</c:formatCode>
                <c:ptCount val="3"/>
                <c:pt idx="0">
                  <c:v>0.0215264288961441</c:v>
                </c:pt>
                <c:pt idx="1">
                  <c:v>0.0263717669809041</c:v>
                </c:pt>
                <c:pt idx="2">
                  <c:v>0.0143628639386896</c:v>
                </c:pt>
              </c:numCache>
            </c:numRef>
          </c:val>
          <c:smooth val="0"/>
        </c:ser>
        <c:ser>
          <c:idx val="9"/>
          <c:order val="6"/>
          <c:tx>
            <c:strRef>
              <c:f>'[TFR-ammendment_051212.xls]Capital Transfers'!$B$11</c:f>
              <c:strCache>
                <c:ptCount val="1"/>
                <c:pt idx="0">
                  <c:v>Karak</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Transfers'!$D$11,'[TFR-ammendment_051212.xls]Capital Transfers'!$F$11,'[TFR-ammendment_051212.xls]Capital Transfers'!$H$11</c:f>
              <c:numCache>
                <c:formatCode>0%</c:formatCode>
                <c:ptCount val="3"/>
                <c:pt idx="0">
                  <c:v>0.0845232191318483</c:v>
                </c:pt>
                <c:pt idx="1">
                  <c:v>0.0520954913268184</c:v>
                </c:pt>
                <c:pt idx="2">
                  <c:v>0.0241983788161985</c:v>
                </c:pt>
              </c:numCache>
            </c:numRef>
          </c:val>
          <c:smooth val="0"/>
        </c:ser>
        <c:ser>
          <c:idx val="10"/>
          <c:order val="7"/>
          <c:tx>
            <c:strRef>
              <c:f>'[TFR-ammendment_051212.xls]Capital Transfers'!$B$12</c:f>
              <c:strCache>
                <c:ptCount val="1"/>
                <c:pt idx="0">
                  <c:v>Maan</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Transfers'!$D$12,'[TFR-ammendment_051212.xls]Capital Transfers'!$F$12,'[TFR-ammendment_051212.xls]Capital Transfers'!$H$12</c:f>
              <c:numCache>
                <c:formatCode>0%</c:formatCode>
                <c:ptCount val="3"/>
                <c:pt idx="0">
                  <c:v>0.0611542753233872</c:v>
                </c:pt>
                <c:pt idx="1">
                  <c:v>0.0404226665285404</c:v>
                </c:pt>
                <c:pt idx="2">
                  <c:v>0.0512576702232581</c:v>
                </c:pt>
              </c:numCache>
            </c:numRef>
          </c:val>
          <c:smooth val="0"/>
        </c:ser>
        <c:ser>
          <c:idx val="11"/>
          <c:order val="8"/>
          <c:tx>
            <c:strRef>
              <c:f>'[TFR-ammendment_051212.xls]Capital Transfers'!$B$13</c:f>
              <c:strCache>
                <c:ptCount val="1"/>
                <c:pt idx="0">
                  <c:v>Tafilah</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Transfers'!$D$13,'[TFR-ammendment_051212.xls]Capital Transfers'!$F$13,'[TFR-ammendment_051212.xls]Capital Transfers'!$H$13</c:f>
              <c:numCache>
                <c:formatCode>0%</c:formatCode>
                <c:ptCount val="3"/>
                <c:pt idx="0">
                  <c:v>0.0279597333002714</c:v>
                </c:pt>
                <c:pt idx="1">
                  <c:v>0.0259700496103687</c:v>
                </c:pt>
                <c:pt idx="2">
                  <c:v>0.0187867981585218</c:v>
                </c:pt>
              </c:numCache>
            </c:numRef>
          </c:val>
          <c:smooth val="0"/>
        </c:ser>
        <c:dLbls>
          <c:showLegendKey val="0"/>
          <c:showVal val="0"/>
          <c:showCatName val="0"/>
          <c:showSerName val="0"/>
          <c:showPercent val="0"/>
          <c:showBubbleSize val="0"/>
        </c:dLbls>
        <c:marker val="1"/>
        <c:smooth val="0"/>
        <c:axId val="2126239128"/>
        <c:axId val="2132594728"/>
      </c:lineChart>
      <c:catAx>
        <c:axId val="2126239128"/>
        <c:scaling>
          <c:orientation val="minMax"/>
        </c:scaling>
        <c:delete val="0"/>
        <c:axPos val="b"/>
        <c:numFmt formatCode="General" sourceLinked="1"/>
        <c:majorTickMark val="out"/>
        <c:minorTickMark val="none"/>
        <c:tickLblPos val="nextTo"/>
        <c:txPr>
          <a:bodyPr/>
          <a:lstStyle/>
          <a:p>
            <a:pPr>
              <a:defRPr lang="en-US" sz="800"/>
            </a:pPr>
            <a:endParaRPr lang="en-US"/>
          </a:p>
        </c:txPr>
        <c:crossAx val="2132594728"/>
        <c:crosses val="autoZero"/>
        <c:auto val="1"/>
        <c:lblAlgn val="ctr"/>
        <c:lblOffset val="100"/>
        <c:noMultiLvlLbl val="0"/>
      </c:catAx>
      <c:valAx>
        <c:axId val="2132594728"/>
        <c:scaling>
          <c:orientation val="minMax"/>
        </c:scaling>
        <c:delete val="0"/>
        <c:axPos val="l"/>
        <c:majorGridlines/>
        <c:title>
          <c:tx>
            <c:rich>
              <a:bodyPr rot="-5400000" vert="horz"/>
              <a:lstStyle/>
              <a:p>
                <a:pPr>
                  <a:defRPr lang="en-US" sz="800"/>
                </a:pPr>
                <a:r>
                  <a:rPr lang="en-US" sz="800"/>
                  <a:t>% of Total</a:t>
                </a:r>
              </a:p>
            </c:rich>
          </c:tx>
          <c:layout/>
          <c:overlay val="0"/>
        </c:title>
        <c:numFmt formatCode="0%" sourceLinked="0"/>
        <c:majorTickMark val="out"/>
        <c:minorTickMark val="none"/>
        <c:tickLblPos val="nextTo"/>
        <c:txPr>
          <a:bodyPr/>
          <a:lstStyle/>
          <a:p>
            <a:pPr>
              <a:defRPr lang="en-US" sz="800"/>
            </a:pPr>
            <a:endParaRPr lang="en-US"/>
          </a:p>
        </c:txPr>
        <c:crossAx val="2126239128"/>
        <c:crosses val="autoZero"/>
        <c:crossBetween val="midCat"/>
      </c:valAx>
    </c:plotArea>
    <c:legend>
      <c:legendPos val="r"/>
      <c:layout/>
      <c:overlay val="0"/>
      <c:txPr>
        <a:bodyPr/>
        <a:lstStyle/>
        <a:p>
          <a:pPr>
            <a:defRPr lang="en-US"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Intergovernmental Capital Transfers</a:t>
            </a:r>
          </a:p>
        </c:rich>
      </c:tx>
      <c:layout/>
      <c:overlay val="0"/>
    </c:title>
    <c:autoTitleDeleted val="0"/>
    <c:plotArea>
      <c:layout/>
      <c:lineChart>
        <c:grouping val="standard"/>
        <c:varyColors val="0"/>
        <c:ser>
          <c:idx val="1"/>
          <c:order val="0"/>
          <c:tx>
            <c:strRef>
              <c:f>'[TFR-ammendment_051212.xls]Capital Transfers'!$B$3</c:f>
              <c:strCache>
                <c:ptCount val="1"/>
                <c:pt idx="0">
                  <c:v>Irbid</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Transfers'!$C$3,'[TFR-ammendment_051212.xls]Capital Transfers'!$E$3,'[TFR-ammendment_051212.xls]Capital Transfers'!$G$3</c:f>
              <c:numCache>
                <c:formatCode>General</c:formatCode>
                <c:ptCount val="3"/>
                <c:pt idx="0">
                  <c:v>57726.0</c:v>
                </c:pt>
                <c:pt idx="1">
                  <c:v>44473.0</c:v>
                </c:pt>
                <c:pt idx="2">
                  <c:v>59790.0</c:v>
                </c:pt>
              </c:numCache>
            </c:numRef>
          </c:val>
          <c:smooth val="0"/>
        </c:ser>
        <c:ser>
          <c:idx val="2"/>
          <c:order val="1"/>
          <c:tx>
            <c:strRef>
              <c:f>'[TFR-ammendment_051212.xls]Capital Transfers'!$B$4</c:f>
              <c:strCache>
                <c:ptCount val="1"/>
                <c:pt idx="0">
                  <c:v>Mafraq</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Transfers'!$C$4,'[TFR-ammendment_051212.xls]Capital Transfers'!$E$4,'[TFR-ammendment_051212.xls]Capital Transfers'!$G$4</c:f>
              <c:numCache>
                <c:formatCode>General</c:formatCode>
                <c:ptCount val="3"/>
                <c:pt idx="0">
                  <c:v>83851.0</c:v>
                </c:pt>
                <c:pt idx="1">
                  <c:v>69957.0</c:v>
                </c:pt>
                <c:pt idx="2">
                  <c:v>49607.0</c:v>
                </c:pt>
              </c:numCache>
            </c:numRef>
          </c:val>
          <c:smooth val="0"/>
        </c:ser>
        <c:ser>
          <c:idx val="3"/>
          <c:order val="2"/>
          <c:tx>
            <c:strRef>
              <c:f>'[TFR-ammendment_051212.xls]Capital Transfers'!$B$5</c:f>
              <c:strCache>
                <c:ptCount val="1"/>
                <c:pt idx="0">
                  <c:v>Ajloun</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Transfers'!$C$5,'[TFR-ammendment_051212.xls]Capital Transfers'!$E$5,'[TFR-ammendment_051212.xls]Capital Transfers'!$G$5</c:f>
              <c:numCache>
                <c:formatCode>General</c:formatCode>
                <c:ptCount val="3"/>
                <c:pt idx="0">
                  <c:v>13110.0</c:v>
                </c:pt>
                <c:pt idx="1">
                  <c:v>18568.0</c:v>
                </c:pt>
                <c:pt idx="2">
                  <c:v>24416.0</c:v>
                </c:pt>
              </c:numCache>
            </c:numRef>
          </c:val>
          <c:smooth val="0"/>
        </c:ser>
        <c:ser>
          <c:idx val="4"/>
          <c:order val="3"/>
          <c:tx>
            <c:strRef>
              <c:f>'[TFR-ammendment_051212.xls]Capital Transfers'!$B$6</c:f>
              <c:strCache>
                <c:ptCount val="1"/>
                <c:pt idx="0">
                  <c:v>Jarash</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Transfers'!$C$6,'[TFR-ammendment_051212.xls]Capital Transfers'!$E$6,'[TFR-ammendment_051212.xls]Capital Transfers'!$G$6</c:f>
              <c:numCache>
                <c:formatCode>General</c:formatCode>
                <c:ptCount val="3"/>
                <c:pt idx="0">
                  <c:v>16668.0</c:v>
                </c:pt>
                <c:pt idx="1">
                  <c:v>33476.0</c:v>
                </c:pt>
                <c:pt idx="2">
                  <c:v>35478.0</c:v>
                </c:pt>
              </c:numCache>
            </c:numRef>
          </c:val>
          <c:smooth val="0"/>
        </c:ser>
        <c:ser>
          <c:idx val="6"/>
          <c:order val="4"/>
          <c:tx>
            <c:strRef>
              <c:f>'[TFR-ammendment_051212.xls]Capital Transfers'!$B$8</c:f>
              <c:strCache>
                <c:ptCount val="1"/>
                <c:pt idx="0">
                  <c:v>Balqa</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Transfers'!$C$8,'[TFR-ammendment_051212.xls]Capital Transfers'!$E$8,'[TFR-ammendment_051212.xls]Capital Transfers'!$G$8</c:f>
              <c:numCache>
                <c:formatCode>General</c:formatCode>
                <c:ptCount val="3"/>
                <c:pt idx="0">
                  <c:v>36779.0</c:v>
                </c:pt>
                <c:pt idx="1">
                  <c:v>40328.0</c:v>
                </c:pt>
                <c:pt idx="2">
                  <c:v>61516.0</c:v>
                </c:pt>
              </c:numCache>
            </c:numRef>
          </c:val>
          <c:smooth val="0"/>
        </c:ser>
        <c:ser>
          <c:idx val="8"/>
          <c:order val="5"/>
          <c:tx>
            <c:strRef>
              <c:f>'[TFR-ammendment_051212.xls]Capital Transfers'!$B$10</c:f>
              <c:strCache>
                <c:ptCount val="1"/>
                <c:pt idx="0">
                  <c:v>Madaba</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Transfers'!$C$10,'[TFR-ammendment_051212.xls]Capital Transfers'!$E$10,'[TFR-ammendment_051212.xls]Capital Transfers'!$G$10</c:f>
              <c:numCache>
                <c:formatCode>General</c:formatCode>
                <c:ptCount val="3"/>
                <c:pt idx="0">
                  <c:v>12501.0</c:v>
                </c:pt>
                <c:pt idx="1">
                  <c:v>22911.0</c:v>
                </c:pt>
                <c:pt idx="2">
                  <c:v>20694.0</c:v>
                </c:pt>
              </c:numCache>
            </c:numRef>
          </c:val>
          <c:smooth val="0"/>
        </c:ser>
        <c:ser>
          <c:idx val="9"/>
          <c:order val="6"/>
          <c:tx>
            <c:strRef>
              <c:f>'[TFR-ammendment_051212.xls]Capital Transfers'!$B$11</c:f>
              <c:strCache>
                <c:ptCount val="1"/>
                <c:pt idx="0">
                  <c:v>Karak</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Transfers'!$C$11,'[TFR-ammendment_051212.xls]Capital Transfers'!$E$11,'[TFR-ammendment_051212.xls]Capital Transfers'!$G$11</c:f>
              <c:numCache>
                <c:formatCode>General</c:formatCode>
                <c:ptCount val="3"/>
                <c:pt idx="0">
                  <c:v>49085.0</c:v>
                </c:pt>
                <c:pt idx="1">
                  <c:v>45259.0</c:v>
                </c:pt>
                <c:pt idx="2">
                  <c:v>34865.0</c:v>
                </c:pt>
              </c:numCache>
            </c:numRef>
          </c:val>
          <c:smooth val="0"/>
        </c:ser>
        <c:ser>
          <c:idx val="10"/>
          <c:order val="7"/>
          <c:tx>
            <c:strRef>
              <c:f>'[TFR-ammendment_051212.xls]Capital Transfers'!$B$12</c:f>
              <c:strCache>
                <c:ptCount val="1"/>
                <c:pt idx="0">
                  <c:v>Maan</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Transfers'!$C$12,'[TFR-ammendment_051212.xls]Capital Transfers'!$E$12,'[TFR-ammendment_051212.xls]Capital Transfers'!$G$12</c:f>
              <c:numCache>
                <c:formatCode>General</c:formatCode>
                <c:ptCount val="3"/>
                <c:pt idx="0">
                  <c:v>35514.0</c:v>
                </c:pt>
                <c:pt idx="1">
                  <c:v>35118.0</c:v>
                </c:pt>
                <c:pt idx="2">
                  <c:v>73852.0</c:v>
                </c:pt>
              </c:numCache>
            </c:numRef>
          </c:val>
          <c:smooth val="0"/>
        </c:ser>
        <c:ser>
          <c:idx val="11"/>
          <c:order val="8"/>
          <c:tx>
            <c:strRef>
              <c:f>'[TFR-ammendment_051212.xls]Capital Transfers'!$B$13</c:f>
              <c:strCache>
                <c:ptCount val="1"/>
                <c:pt idx="0">
                  <c:v>Tafilah</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Transfers'!$C$13,'[TFR-ammendment_051212.xls]Capital Transfers'!$E$13,'[TFR-ammendment_051212.xls]Capital Transfers'!$G$13</c:f>
              <c:numCache>
                <c:formatCode>General</c:formatCode>
                <c:ptCount val="3"/>
                <c:pt idx="0">
                  <c:v>16237.0</c:v>
                </c:pt>
                <c:pt idx="1">
                  <c:v>22562.0</c:v>
                </c:pt>
                <c:pt idx="2">
                  <c:v>27068.0</c:v>
                </c:pt>
              </c:numCache>
            </c:numRef>
          </c:val>
          <c:smooth val="0"/>
        </c:ser>
        <c:dLbls>
          <c:showLegendKey val="0"/>
          <c:showVal val="0"/>
          <c:showCatName val="0"/>
          <c:showSerName val="0"/>
          <c:showPercent val="0"/>
          <c:showBubbleSize val="0"/>
        </c:dLbls>
        <c:marker val="1"/>
        <c:smooth val="0"/>
        <c:axId val="2131921064"/>
        <c:axId val="2128342664"/>
      </c:lineChart>
      <c:catAx>
        <c:axId val="2131921064"/>
        <c:scaling>
          <c:orientation val="minMax"/>
        </c:scaling>
        <c:delete val="0"/>
        <c:axPos val="b"/>
        <c:numFmt formatCode="General" sourceLinked="1"/>
        <c:majorTickMark val="out"/>
        <c:minorTickMark val="none"/>
        <c:tickLblPos val="nextTo"/>
        <c:txPr>
          <a:bodyPr/>
          <a:lstStyle/>
          <a:p>
            <a:pPr>
              <a:defRPr lang="en-US" sz="800"/>
            </a:pPr>
            <a:endParaRPr lang="en-US"/>
          </a:p>
        </c:txPr>
        <c:crossAx val="2128342664"/>
        <c:crosses val="autoZero"/>
        <c:auto val="1"/>
        <c:lblAlgn val="ctr"/>
        <c:lblOffset val="100"/>
        <c:noMultiLvlLbl val="0"/>
      </c:catAx>
      <c:valAx>
        <c:axId val="2128342664"/>
        <c:scaling>
          <c:orientation val="minMax"/>
        </c:scaling>
        <c:delete val="0"/>
        <c:axPos val="l"/>
        <c:majorGridlines/>
        <c:numFmt formatCode="General" sourceLinked="1"/>
        <c:majorTickMark val="out"/>
        <c:minorTickMark val="none"/>
        <c:tickLblPos val="nextTo"/>
        <c:txPr>
          <a:bodyPr/>
          <a:lstStyle/>
          <a:p>
            <a:pPr>
              <a:defRPr lang="en-US" sz="800"/>
            </a:pPr>
            <a:endParaRPr lang="en-US"/>
          </a:p>
        </c:txPr>
        <c:crossAx val="2131921064"/>
        <c:crosses val="autoZero"/>
        <c:crossBetween val="midCat"/>
        <c:dispUnits>
          <c:builtInUnit val="thousands"/>
          <c:dispUnitsLbl>
            <c:layout/>
            <c:tx>
              <c:rich>
                <a:bodyPr/>
                <a:lstStyle/>
                <a:p>
                  <a:pPr>
                    <a:defRPr lang="en-US" sz="800"/>
                  </a:pPr>
                  <a:r>
                    <a:rPr lang="en-US" sz="800" b="1" i="0" u="none" strike="noStrike" baseline="0">
                      <a:effectLst/>
                    </a:rPr>
                    <a:t>Jordanian dinar 10</a:t>
                  </a:r>
                  <a:r>
                    <a:rPr lang="en-US" sz="800" b="1" i="0" u="none" strike="noStrike" baseline="30000">
                      <a:effectLst/>
                    </a:rPr>
                    <a:t>3</a:t>
                  </a:r>
                  <a:endParaRPr lang="en-US" sz="800" baseline="30000"/>
                </a:p>
              </c:rich>
            </c:tx>
          </c:dispUnitsLbl>
        </c:dispUnits>
      </c:valAx>
    </c:plotArea>
    <c:legend>
      <c:legendPos val="r"/>
      <c:layout/>
      <c:overlay val="0"/>
      <c:txPr>
        <a:bodyPr/>
        <a:lstStyle/>
        <a:p>
          <a:pPr>
            <a:defRPr lang="en-US" sz="8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Intergovernmental Capital Transfers</a:t>
            </a:r>
          </a:p>
        </c:rich>
      </c:tx>
      <c:layout/>
      <c:overlay val="0"/>
    </c:title>
    <c:autoTitleDeleted val="0"/>
    <c:plotArea>
      <c:layout/>
      <c:lineChart>
        <c:grouping val="standard"/>
        <c:varyColors val="0"/>
        <c:ser>
          <c:idx val="5"/>
          <c:order val="0"/>
          <c:tx>
            <c:strRef>
              <c:f>'[TFR-ammendment_051212.xls]Capital Transfers'!$B$7</c:f>
              <c:strCache>
                <c:ptCount val="1"/>
                <c:pt idx="0">
                  <c:v>Amman</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Transfers'!$C$7,'[TFR-ammendment_051212.xls]Capital Transfers'!$E$7,'[TFR-ammendment_051212.xls]Capital Transfers'!$G$7</c:f>
              <c:numCache>
                <c:formatCode>General</c:formatCode>
                <c:ptCount val="3"/>
                <c:pt idx="0">
                  <c:v>149205.0</c:v>
                </c:pt>
                <c:pt idx="1">
                  <c:v>338475.0</c:v>
                </c:pt>
                <c:pt idx="2">
                  <c:v>217329.0</c:v>
                </c:pt>
              </c:numCache>
            </c:numRef>
          </c:val>
          <c:smooth val="0"/>
        </c:ser>
        <c:ser>
          <c:idx val="7"/>
          <c:order val="1"/>
          <c:tx>
            <c:strRef>
              <c:f>'[TFR-ammendment_051212.xls]Capital Transfers'!$B$9</c:f>
              <c:strCache>
                <c:ptCount val="1"/>
                <c:pt idx="0">
                  <c:v>Zarqa</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Transfers'!$C$9,'[TFR-ammendment_051212.xls]Capital Transfers'!$E$9,'[TFR-ammendment_051212.xls]Capital Transfers'!$G$9</c:f>
              <c:numCache>
                <c:formatCode>General</c:formatCode>
                <c:ptCount val="3"/>
                <c:pt idx="0">
                  <c:v>93977.0</c:v>
                </c:pt>
                <c:pt idx="1">
                  <c:v>197643.0</c:v>
                </c:pt>
                <c:pt idx="2">
                  <c:v>256635.0</c:v>
                </c:pt>
              </c:numCache>
            </c:numRef>
          </c:val>
          <c:smooth val="0"/>
        </c:ser>
        <c:ser>
          <c:idx val="12"/>
          <c:order val="2"/>
          <c:tx>
            <c:strRef>
              <c:f>'[TFR-ammendment_051212.xls]Capital Transfers'!$B$14</c:f>
              <c:strCache>
                <c:ptCount val="1"/>
                <c:pt idx="0">
                  <c:v>Aqaba</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Transfers'!$C$14,'[TFR-ammendment_051212.xls]Capital Transfers'!$E$14,'[TFR-ammendment_051212.xls]Capital Transfers'!$G$14</c:f>
              <c:numCache>
                <c:formatCode>General</c:formatCode>
                <c:ptCount val="3"/>
                <c:pt idx="0">
                  <c:v>16075.0</c:v>
                </c:pt>
                <c:pt idx="1">
                  <c:v>0.0</c:v>
                </c:pt>
                <c:pt idx="2">
                  <c:v>579549.0</c:v>
                </c:pt>
              </c:numCache>
            </c:numRef>
          </c:val>
          <c:smooth val="0"/>
        </c:ser>
        <c:dLbls>
          <c:showLegendKey val="0"/>
          <c:showVal val="0"/>
          <c:showCatName val="0"/>
          <c:showSerName val="0"/>
          <c:showPercent val="0"/>
          <c:showBubbleSize val="0"/>
        </c:dLbls>
        <c:marker val="1"/>
        <c:smooth val="0"/>
        <c:axId val="2127054120"/>
        <c:axId val="2127777288"/>
      </c:lineChart>
      <c:catAx>
        <c:axId val="2127054120"/>
        <c:scaling>
          <c:orientation val="minMax"/>
        </c:scaling>
        <c:delete val="0"/>
        <c:axPos val="b"/>
        <c:numFmt formatCode="General" sourceLinked="1"/>
        <c:majorTickMark val="out"/>
        <c:minorTickMark val="none"/>
        <c:tickLblPos val="nextTo"/>
        <c:txPr>
          <a:bodyPr/>
          <a:lstStyle/>
          <a:p>
            <a:pPr>
              <a:defRPr lang="en-US" sz="800"/>
            </a:pPr>
            <a:endParaRPr lang="en-US"/>
          </a:p>
        </c:txPr>
        <c:crossAx val="2127777288"/>
        <c:crosses val="autoZero"/>
        <c:auto val="1"/>
        <c:lblAlgn val="ctr"/>
        <c:lblOffset val="100"/>
        <c:noMultiLvlLbl val="0"/>
      </c:catAx>
      <c:valAx>
        <c:axId val="2127777288"/>
        <c:scaling>
          <c:orientation val="minMax"/>
          <c:max val="600000.0"/>
        </c:scaling>
        <c:delete val="0"/>
        <c:axPos val="l"/>
        <c:majorGridlines/>
        <c:numFmt formatCode="General" sourceLinked="1"/>
        <c:majorTickMark val="out"/>
        <c:minorTickMark val="none"/>
        <c:tickLblPos val="nextTo"/>
        <c:txPr>
          <a:bodyPr/>
          <a:lstStyle/>
          <a:p>
            <a:pPr>
              <a:defRPr lang="en-US" sz="800"/>
            </a:pPr>
            <a:endParaRPr lang="en-US"/>
          </a:p>
        </c:txPr>
        <c:crossAx val="2127054120"/>
        <c:crosses val="autoZero"/>
        <c:crossBetween val="midCat"/>
        <c:dispUnits>
          <c:builtInUnit val="thousands"/>
          <c:dispUnitsLbl>
            <c:layout/>
            <c:tx>
              <c:rich>
                <a:bodyPr/>
                <a:lstStyle/>
                <a:p>
                  <a:pPr>
                    <a:defRPr lang="en-US" sz="800"/>
                  </a:pPr>
                  <a:r>
                    <a:rPr lang="en-US" sz="800" b="1" i="0" u="none" strike="noStrike" baseline="0">
                      <a:effectLst/>
                    </a:rPr>
                    <a:t>Jordanian dinar 10</a:t>
                  </a:r>
                  <a:r>
                    <a:rPr lang="en-US" sz="800" b="1" i="0" u="none" strike="noStrike" baseline="30000">
                      <a:effectLst/>
                    </a:rPr>
                    <a:t>3</a:t>
                  </a:r>
                  <a:endParaRPr lang="en-US" sz="800" baseline="30000"/>
                </a:p>
              </c:rich>
            </c:tx>
          </c:dispUnitsLbl>
        </c:dispUnits>
      </c:valAx>
    </c:plotArea>
    <c:legend>
      <c:legendPos val="r"/>
      <c:layout/>
      <c:overlay val="0"/>
      <c:txPr>
        <a:bodyPr/>
        <a:lstStyle/>
        <a:p>
          <a:pPr>
            <a:defRPr lang="en-US" sz="8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Intergovernmental Capital Transfers</a:t>
            </a:r>
          </a:p>
        </c:rich>
      </c:tx>
      <c:layout/>
      <c:overlay val="0"/>
    </c:title>
    <c:autoTitleDeleted val="0"/>
    <c:plotArea>
      <c:layout/>
      <c:lineChart>
        <c:grouping val="standard"/>
        <c:varyColors val="0"/>
        <c:ser>
          <c:idx val="5"/>
          <c:order val="0"/>
          <c:tx>
            <c:strRef>
              <c:f>'[TFR-ammendment_051212.xls]Capital Transfers'!$B$7</c:f>
              <c:strCache>
                <c:ptCount val="1"/>
                <c:pt idx="0">
                  <c:v>Amman</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Transfers'!$D$7,'[TFR-ammendment_051212.xls]Capital Transfers'!$F$7,'[TFR-ammendment_051212.xls]Capital Transfers'!$H$7</c:f>
              <c:numCache>
                <c:formatCode>0%</c:formatCode>
                <c:ptCount val="3"/>
                <c:pt idx="0">
                  <c:v>0.256927511675001</c:v>
                </c:pt>
                <c:pt idx="1">
                  <c:v>0.389602541524224</c:v>
                </c:pt>
                <c:pt idx="2">
                  <c:v>0.150839221848433</c:v>
                </c:pt>
              </c:numCache>
            </c:numRef>
          </c:val>
          <c:smooth val="0"/>
        </c:ser>
        <c:ser>
          <c:idx val="7"/>
          <c:order val="1"/>
          <c:tx>
            <c:strRef>
              <c:f>'[TFR-ammendment_051212.xls]Capital Transfers'!$B$9</c:f>
              <c:strCache>
                <c:ptCount val="1"/>
                <c:pt idx="0">
                  <c:v>Zarqa</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Transfers'!$D$9,'[TFR-ammendment_051212.xls]Capital Transfers'!$F$9,'[TFR-ammendment_051212.xls]Capital Transfers'!$H$9</c:f>
              <c:numCache>
                <c:formatCode>0%</c:formatCode>
                <c:ptCount val="3"/>
                <c:pt idx="0">
                  <c:v>0.161826190574589</c:v>
                </c:pt>
                <c:pt idx="1">
                  <c:v>0.227497496460513</c:v>
                </c:pt>
                <c:pt idx="2">
                  <c:v>0.178119918184285</c:v>
                </c:pt>
              </c:numCache>
            </c:numRef>
          </c:val>
          <c:smooth val="0"/>
        </c:ser>
        <c:ser>
          <c:idx val="12"/>
          <c:order val="2"/>
          <c:tx>
            <c:strRef>
              <c:f>'[TFR-ammendment_051212.xls]Capital Transfers'!$B$14</c:f>
              <c:strCache>
                <c:ptCount val="1"/>
                <c:pt idx="0">
                  <c:v>Aqaba</c:v>
                </c:pt>
              </c:strCache>
            </c:strRef>
          </c:tx>
          <c:marker>
            <c:symbol val="none"/>
          </c:marker>
          <c:cat>
            <c:numRef>
              <c:f>'[TFR-ammendment_051212.xls]Capital Transfers'!$G$2,'[TFR-ammendment_051212.xls]Capital Transfers'!$E$2,'[TFR-ammendment_051212.xls]Capital Transfers'!$C$2</c:f>
              <c:numCache>
                <c:formatCode>General</c:formatCode>
                <c:ptCount val="3"/>
                <c:pt idx="0">
                  <c:v>2009.0</c:v>
                </c:pt>
                <c:pt idx="1">
                  <c:v>2010.0</c:v>
                </c:pt>
                <c:pt idx="2">
                  <c:v>2011.0</c:v>
                </c:pt>
              </c:numCache>
            </c:numRef>
          </c:cat>
          <c:val>
            <c:numRef>
              <c:f>'[TFR-ammendment_051212.xls]Capital Transfers'!$D$14,'[TFR-ammendment_051212.xls]Capital Transfers'!$F$14,'[TFR-ammendment_051212.xls]Capital Transfers'!$H$14</c:f>
              <c:numCache>
                <c:formatCode>0%</c:formatCode>
                <c:ptCount val="3"/>
                <c:pt idx="0">
                  <c:v>0.0276807730985935</c:v>
                </c:pt>
                <c:pt idx="1">
                  <c:v>0.0</c:v>
                </c:pt>
                <c:pt idx="2">
                  <c:v>0.402241395225844</c:v>
                </c:pt>
              </c:numCache>
            </c:numRef>
          </c:val>
          <c:smooth val="0"/>
        </c:ser>
        <c:dLbls>
          <c:showLegendKey val="0"/>
          <c:showVal val="0"/>
          <c:showCatName val="0"/>
          <c:showSerName val="0"/>
          <c:showPercent val="0"/>
          <c:showBubbleSize val="0"/>
        </c:dLbls>
        <c:marker val="1"/>
        <c:smooth val="0"/>
        <c:axId val="2131787624"/>
        <c:axId val="2131802824"/>
      </c:lineChart>
      <c:catAx>
        <c:axId val="2131787624"/>
        <c:scaling>
          <c:orientation val="minMax"/>
        </c:scaling>
        <c:delete val="0"/>
        <c:axPos val="b"/>
        <c:numFmt formatCode="General" sourceLinked="1"/>
        <c:majorTickMark val="out"/>
        <c:minorTickMark val="none"/>
        <c:tickLblPos val="nextTo"/>
        <c:txPr>
          <a:bodyPr/>
          <a:lstStyle/>
          <a:p>
            <a:pPr>
              <a:defRPr lang="en-US" sz="800"/>
            </a:pPr>
            <a:endParaRPr lang="en-US"/>
          </a:p>
        </c:txPr>
        <c:crossAx val="2131802824"/>
        <c:crosses val="autoZero"/>
        <c:auto val="1"/>
        <c:lblAlgn val="ctr"/>
        <c:lblOffset val="100"/>
        <c:noMultiLvlLbl val="0"/>
      </c:catAx>
      <c:valAx>
        <c:axId val="2131802824"/>
        <c:scaling>
          <c:orientation val="minMax"/>
        </c:scaling>
        <c:delete val="0"/>
        <c:axPos val="l"/>
        <c:majorGridlines/>
        <c:title>
          <c:tx>
            <c:rich>
              <a:bodyPr rot="-5400000" vert="horz"/>
              <a:lstStyle/>
              <a:p>
                <a:pPr>
                  <a:defRPr lang="en-US" sz="800"/>
                </a:pPr>
                <a:r>
                  <a:rPr lang="en-US" sz="800"/>
                  <a:t>% of Total</a:t>
                </a:r>
              </a:p>
            </c:rich>
          </c:tx>
          <c:layout/>
          <c:overlay val="0"/>
        </c:title>
        <c:numFmt formatCode="0%" sourceLinked="0"/>
        <c:majorTickMark val="out"/>
        <c:minorTickMark val="none"/>
        <c:tickLblPos val="nextTo"/>
        <c:txPr>
          <a:bodyPr/>
          <a:lstStyle/>
          <a:p>
            <a:pPr>
              <a:defRPr lang="en-US" sz="800"/>
            </a:pPr>
            <a:endParaRPr lang="en-US"/>
          </a:p>
        </c:txPr>
        <c:crossAx val="2131787624"/>
        <c:crosses val="autoZero"/>
        <c:crossBetween val="midCat"/>
      </c:valAx>
    </c:plotArea>
    <c:legend>
      <c:legendPos val="r"/>
      <c:layout/>
      <c:overlay val="0"/>
      <c:txPr>
        <a:bodyPr/>
        <a:lstStyle/>
        <a:p>
          <a:pPr>
            <a:defRPr lang="en-US" sz="8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073D-7761-8D49-9CB2-BA8FFEB4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9184</Words>
  <Characters>53638</Characters>
  <Application>Microsoft Macintosh Word</Application>
  <DocSecurity>0</DocSecurity>
  <Lines>1625</Lines>
  <Paragraphs>621</Paragraphs>
  <ScaleCrop>false</ScaleCrop>
  <HeadingPairs>
    <vt:vector size="2" baseType="variant">
      <vt:variant>
        <vt:lpstr>Title</vt:lpstr>
      </vt:variant>
      <vt:variant>
        <vt:i4>1</vt:i4>
      </vt:variant>
    </vt:vector>
  </HeadingPairs>
  <TitlesOfParts>
    <vt:vector size="1" baseType="lpstr">
      <vt:lpstr>July 15th, 2010</vt:lpstr>
    </vt:vector>
  </TitlesOfParts>
  <Company>**</Company>
  <LinksUpToDate>false</LinksUpToDate>
  <CharactersWithSpaces>62201</CharactersWithSpaces>
  <SharedDoc>false</SharedDoc>
  <HLinks>
    <vt:vector size="42" baseType="variant">
      <vt:variant>
        <vt:i4>196694</vt:i4>
      </vt:variant>
      <vt:variant>
        <vt:i4>3</vt:i4>
      </vt:variant>
      <vt:variant>
        <vt:i4>0</vt:i4>
      </vt:variant>
      <vt:variant>
        <vt:i4>5</vt:i4>
      </vt:variant>
      <vt:variant>
        <vt:lpwstr>http://ideas.repec.org/s/npf/wpaper.html</vt:lpwstr>
      </vt:variant>
      <vt:variant>
        <vt:lpwstr/>
      </vt:variant>
      <vt:variant>
        <vt:i4>2752635</vt:i4>
      </vt:variant>
      <vt:variant>
        <vt:i4>0</vt:i4>
      </vt:variant>
      <vt:variant>
        <vt:i4>0</vt:i4>
      </vt:variant>
      <vt:variant>
        <vt:i4>5</vt:i4>
      </vt:variant>
      <vt:variant>
        <vt:lpwstr>http://ideas.repec.org/p/npf/wpaper/04-10.html</vt:lpwstr>
      </vt:variant>
      <vt:variant>
        <vt:lpwstr/>
      </vt:variant>
      <vt:variant>
        <vt:i4>4391035</vt:i4>
      </vt:variant>
      <vt:variant>
        <vt:i4>12</vt:i4>
      </vt:variant>
      <vt:variant>
        <vt:i4>0</vt:i4>
      </vt:variant>
      <vt:variant>
        <vt:i4>5</vt:i4>
      </vt:variant>
      <vt:variant>
        <vt:lpwstr>http://statisticaldb.cbj.gov.jo/index?action=level4&amp;page_no=0</vt:lpwstr>
      </vt:variant>
      <vt:variant>
        <vt:lpwstr/>
      </vt:variant>
      <vt:variant>
        <vt:i4>4718592</vt:i4>
      </vt:variant>
      <vt:variant>
        <vt:i4>9</vt:i4>
      </vt:variant>
      <vt:variant>
        <vt:i4>0</vt:i4>
      </vt:variant>
      <vt:variant>
        <vt:i4>5</vt:i4>
      </vt:variant>
      <vt:variant>
        <vt:lpwstr>http://www.imf.org/external/pubs/ft/weo/2012/01/index.htm</vt:lpwstr>
      </vt:variant>
      <vt:variant>
        <vt:lpwstr/>
      </vt:variant>
      <vt:variant>
        <vt:i4>2621560</vt:i4>
      </vt:variant>
      <vt:variant>
        <vt:i4>6</vt:i4>
      </vt:variant>
      <vt:variant>
        <vt:i4>0</vt:i4>
      </vt:variant>
      <vt:variant>
        <vt:i4>5</vt:i4>
      </vt:variant>
      <vt:variant>
        <vt:lpwstr>http://www.mma.gov.jo/MunicipalDB/Criteria.aspx</vt:lpwstr>
      </vt:variant>
      <vt:variant>
        <vt:lpwstr/>
      </vt:variant>
      <vt:variant>
        <vt:i4>524368</vt:i4>
      </vt:variant>
      <vt:variant>
        <vt:i4>3</vt:i4>
      </vt:variant>
      <vt:variant>
        <vt:i4>0</vt:i4>
      </vt:variant>
      <vt:variant>
        <vt:i4>5</vt:i4>
      </vt:variant>
      <vt:variant>
        <vt:lpwstr>http://www.imf.org/external/pubs/ft/gfs/yearbook/2008/gfsy08.pdf</vt:lpwstr>
      </vt:variant>
      <vt:variant>
        <vt:lpwstr/>
      </vt:variant>
      <vt:variant>
        <vt:i4>4849776</vt:i4>
      </vt:variant>
      <vt:variant>
        <vt:i4>0</vt:i4>
      </vt:variant>
      <vt:variant>
        <vt:i4>0</vt:i4>
      </vt:variant>
      <vt:variant>
        <vt:i4>5</vt:i4>
      </vt:variant>
      <vt:variant>
        <vt:lpwstr>http://www.kingabdullah.jo/press_room/speechpage.php/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15th, 2010</dc:title>
  <dc:subject/>
  <dc:creator>majdoulin.d</dc:creator>
  <cp:keywords/>
  <dc:description/>
  <cp:lastModifiedBy>Andre</cp:lastModifiedBy>
  <cp:revision>10</cp:revision>
  <cp:lastPrinted>2012-05-18T12:58:00Z</cp:lastPrinted>
  <dcterms:created xsi:type="dcterms:W3CDTF">2014-05-03T17:03:00Z</dcterms:created>
  <dcterms:modified xsi:type="dcterms:W3CDTF">2014-10-25T21:20:00Z</dcterms:modified>
</cp:coreProperties>
</file>